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8"/>
      </w:pPr>
      <w:r>
        <w:rPr>
          <w:rFonts w:ascii="Times New Roman"/>
        </w:rPr>
        <w:t>ICS</w:t>
      </w:r>
      <w:r>
        <w:rPr>
          <w:rFonts w:hAnsi="黑体"/>
        </w:rPr>
        <w:t> </w:t>
      </w:r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0"/>
    </w:p>
    <w:p>
      <w:pPr>
        <w:pStyle w:val="118"/>
      </w:pPr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点击此处添加中国标准文献分类号</w:t>
      </w:r>
      <w:r>
        <w:fldChar w:fldCharType="end"/>
      </w:r>
      <w:bookmarkEnd w:id="1"/>
    </w:p>
    <w:tbl>
      <w:tblPr>
        <w:tblStyle w:val="28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18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9525" b="11430"/>
                      <wp:wrapNone/>
                      <wp:docPr id="7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6192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MiuL+zVAAAABwEAAA8AAAAAAAAAAQAgAAAAIgAAAGRycy9kb3ducmV2Lnht&#10;bFBLAQIUABQAAAAIAIdO4kDx2PTrigEAAAsDAAAOAAAAAAAAAAEAIAAAACQBAABkcnMvZTJvRG9j&#10;LnhtbFBLBQYAAAAABgAGAFkBAAAg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</w:tbl>
    <w:p>
      <w:pPr>
        <w:pStyle w:val="104"/>
      </w:pPr>
      <w:r>
        <w:t>DB</w:t>
      </w:r>
      <w:r>
        <w:fldChar w:fldCharType="begin">
          <w:ffData>
            <w:name w:val="c3"/>
            <w:enabled/>
            <w:calcOnExit w:val="0"/>
            <w:entryMacro w:val="ShowHelp16"/>
            <w:textInput>
              <w:maxLength w:val="2"/>
            </w:textInput>
          </w:ffData>
        </w:fldChar>
      </w:r>
      <w:bookmarkStart w:id="3" w:name="c3"/>
      <w:r>
        <w:instrText xml:space="preserve"> FORMTEXT </w:instrText>
      </w:r>
      <w:r>
        <w:fldChar w:fldCharType="separate"/>
      </w:r>
      <w:r>
        <w:t>  </w:t>
      </w:r>
      <w:r>
        <w:fldChar w:fldCharType="end"/>
      </w:r>
      <w:bookmarkEnd w:id="3"/>
    </w:p>
    <w:p>
      <w:pPr>
        <w:pStyle w:val="105"/>
      </w:pPr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bookmarkStart w:id="4" w:name="c4"/>
      <w:r>
        <w:instrText xml:space="preserve"> FORMTEXT </w:instrText>
      </w:r>
      <w:r>
        <w:fldChar w:fldCharType="separate"/>
      </w:r>
      <w:r>
        <w:rPr>
          <w:rFonts w:hint="eastAsia"/>
        </w:rPr>
        <w:t>浙江省</w:t>
      </w:r>
      <w:r>
        <w:t>金</w:t>
      </w:r>
      <w:r>
        <w:rPr>
          <w:rFonts w:hint="eastAsia"/>
        </w:rPr>
        <w:t>华市</w:t>
      </w:r>
      <w:r>
        <w:fldChar w:fldCharType="end"/>
      </w:r>
      <w:bookmarkEnd w:id="4"/>
      <w:r>
        <w:rPr>
          <w:rFonts w:hint="eastAsia"/>
        </w:rPr>
        <w:t>地方标准</w:t>
      </w:r>
    </w:p>
    <w:p>
      <w:pPr>
        <w:pStyle w:val="42"/>
        <w:rPr>
          <w:rFonts w:hAnsi="黑体"/>
        </w:rPr>
      </w:pPr>
      <w:r>
        <w:rPr>
          <w:rFonts w:ascii="Times New Roman"/>
        </w:rPr>
        <w:t xml:space="preserve">DB </w:t>
      </w:r>
      <w:r>
        <w:rPr>
          <w:rFonts w:hAnsi="黑体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5" w:name="StdNo0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</w:t>
      </w:r>
      <w:r>
        <w:rPr>
          <w:rFonts w:hAnsi="黑体"/>
        </w:rPr>
        <w:fldChar w:fldCharType="end"/>
      </w:r>
      <w:bookmarkEnd w:id="5"/>
      <w:r>
        <w:rPr>
          <w:rFonts w:hAnsi="黑体"/>
        </w:rPr>
        <w:t xml:space="preserve">/ </w:t>
      </w:r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6" w:name="StdNo1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XXXXX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7" w:name="StdNo2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Style w:val="28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1"/>
            </w:pPr>
            <w: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4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9264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AeYPLL1gAAAAgBAAAPAAAAAAAAAAEAIAAAACIAAABkcnMvZG93bnJldi54bWxQSwEC&#10;FAAUAAAACACHTuJAUCEfe4QBAAALAwAADgAAAAAAAAABACAAAAAlAQAAZHJzL2Uyb0RvYy54bWxQ&#10;SwUGAAAAAAYABgBZAQAAGw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8" w:name="DT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</w:tbl>
    <w:p>
      <w:pPr>
        <w:pStyle w:val="42"/>
        <w:rPr>
          <w:rFonts w:hAnsi="黑体"/>
        </w:rPr>
      </w:pPr>
    </w:p>
    <w:p>
      <w:pPr>
        <w:pStyle w:val="42"/>
        <w:rPr>
          <w:rFonts w:hAnsi="黑体"/>
        </w:rPr>
      </w:pPr>
    </w:p>
    <w:p>
      <w:pPr>
        <w:pStyle w:val="73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9" w:name="StdName"/>
      <w:r>
        <w:instrText xml:space="preserve"> FORMTEXT </w:instrText>
      </w:r>
      <w:r>
        <w:fldChar w:fldCharType="separate"/>
      </w:r>
      <w:r>
        <w:rPr>
          <w:rFonts w:hint="eastAsia"/>
        </w:rPr>
        <w:t>金线莲林下栽培技术规程</w:t>
      </w:r>
      <w:r>
        <w:t> </w:t>
      </w:r>
      <w:r>
        <w:fldChar w:fldCharType="end"/>
      </w:r>
      <w:bookmarkEnd w:id="9"/>
    </w:p>
    <w:p>
      <w:pPr>
        <w:pStyle w:val="74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10" w:name="StdEnglishName"/>
      <w:r>
        <w:instrText xml:space="preserve"> FORMTEXT </w:instrText>
      </w:r>
      <w:r>
        <w:fldChar w:fldCharType="separate"/>
      </w:r>
      <w:r>
        <w:t>Technical regulations for understory cultivation of Anoectochilus</w:t>
      </w:r>
      <w:r>
        <w:fldChar w:fldCharType="end"/>
      </w:r>
      <w:bookmarkEnd w:id="10"/>
    </w:p>
    <w:p>
      <w:pPr>
        <w:pStyle w:val="75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11" w:name="YZBS"/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点击此处添加与国际标准一致性程度的标识</w:t>
      </w:r>
      <w:r>
        <w:fldChar w:fldCharType="end"/>
      </w:r>
      <w:bookmarkEnd w:id="11"/>
    </w:p>
    <w:tbl>
      <w:tblPr>
        <w:tblStyle w:val="28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6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12700"/>
                      <wp:wrapNone/>
                      <wp:docPr id="6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7216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6350" b="0"/>
                      <wp:wrapNone/>
                      <wp:docPr id="5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8240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AD4Yvl1gAAAAkBAAAPAAAAAAAAAAEAIAAAACIAAABkcnMvZG93bnJldi54bWxQSwEC&#10;FAAUAAAACACHTuJAE71djoQBAAALAwAADgAAAAAAAAABACAAAAAlAQAAZHJzL2Uyb0RvYy54bWxQ&#10;SwUGAAAAAAYABgBZAQAAGw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3" w:name="WCRQ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3"/>
          </w:p>
        </w:tc>
      </w:tr>
    </w:tbl>
    <w:p>
      <w:pPr>
        <w:pStyle w:val="125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bookmarkStart w:id="14" w:name="F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bookmarkStart w:id="15" w:name="F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0.05pt;margin-top:728.5pt;height:0pt;width:481.9pt;mso-position-vertical-relative:page;z-index:251655168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WHazzWAAAACwEAAA8AAAAAAAAAAQAgAAAAIgAAAGRycy9k&#10;b3ducmV2LnhtbFBLAQIUABQAAAAIAIdO4kCZ2o5VywEAAI4DAAAOAAAAAAAAAAEAIAAAACU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26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bookmarkStart w:id="16" w:name="S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6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17" w:name="S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7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18" w:name="S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p>
      <w:pPr>
        <w:pStyle w:val="106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bookmarkStart w:id="19" w:name="fm"/>
      <w:r>
        <w:instrText xml:space="preserve"> FORMTEXT </w:instrText>
      </w:r>
      <w:r>
        <w:fldChar w:fldCharType="separate"/>
      </w:r>
      <w:r>
        <w:rPr>
          <w:rFonts w:hint="eastAsia"/>
        </w:rPr>
        <w:t>金华市市场监督管理局</w:t>
      </w:r>
      <w:r>
        <w:fldChar w:fldCharType="end"/>
      </w:r>
      <w:bookmarkEnd w:id="19"/>
      <w:r>
        <w:rPr>
          <w:rFonts w:hAnsi="黑体"/>
        </w:rPr>
        <w:t>   </w:t>
      </w:r>
      <w:r>
        <w:rPr>
          <w:rStyle w:val="68"/>
          <w:rFonts w:hint="eastAsia"/>
        </w:rPr>
        <w:t>发布</w:t>
      </w:r>
    </w:p>
    <w:p>
      <w:pPr>
        <w:pStyle w:val="20"/>
        <w:sectPr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0" b="0"/>
                <wp:wrapNone/>
                <wp:docPr id="3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0.05pt;margin-top:184.25pt;height:0pt;width:481.9pt;z-index:251656192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kHiX9cAAAAJAQAADwAAAAAAAAABACAAAAAiAAAAZHJz&#10;L2Rvd25yZXYueG1sUEsBAhQAFAAAAAgAh07iQOAwrIbMAQAAjgMAAA4AAAAAAAAAAQAgAAAAJ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5"/>
        <w:rPr>
          <w:rFonts w:hint="eastAsia"/>
        </w:rPr>
      </w:pPr>
      <w:bookmarkStart w:id="20" w:name="_Toc48657877"/>
      <w:r>
        <w:rPr>
          <w:rFonts w:hint="eastAsia"/>
        </w:rPr>
        <w:t>目</w:t>
      </w:r>
      <w:bookmarkStart w:id="21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21"/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 w:fldLock="1"/>
      </w:r>
      <w:r>
        <w:instrText xml:space="preserve"> </w:instrText>
      </w:r>
      <w:r>
        <w:rPr>
          <w:rFonts w:hint="eastAsia"/>
        </w:rPr>
        <w:instrText xml:space="preserve">TOC \h \z \t"前言、引言标题,1,参考文献、索引标题,1,章标题,1,参考文献,1,附录标识,1,一级条标题, 3,二级条标题, 4" \* MERGEFORMAT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HYPERLINK \l "_Toc48658196" </w:instrText>
      </w:r>
      <w:r>
        <w:fldChar w:fldCharType="separate"/>
      </w:r>
      <w:r>
        <w:rPr>
          <w:rStyle w:val="34"/>
          <w:rFonts w:hint="eastAsia"/>
        </w:rPr>
        <w:t>前言</w:t>
      </w:r>
      <w:r>
        <w:tab/>
      </w:r>
      <w:r>
        <w:fldChar w:fldCharType="begin" w:fldLock="1"/>
      </w:r>
      <w:r>
        <w:instrText xml:space="preserve"> PAGEREF _Toc48658196 \h </w:instrText>
      </w:r>
      <w:r>
        <w:fldChar w:fldCharType="separate"/>
      </w:r>
      <w:r>
        <w:t>III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"_Toc48658197" </w:instrText>
      </w:r>
      <w:r>
        <w:fldChar w:fldCharType="separate"/>
      </w:r>
      <w:r>
        <w:rPr>
          <w:rStyle w:val="34"/>
        </w:rPr>
        <w:t>1</w:t>
      </w:r>
      <w:r>
        <w:rPr>
          <w:rStyle w:val="34"/>
          <w:rFonts w:hint="eastAsia"/>
        </w:rPr>
        <w:t>　范围</w:t>
      </w:r>
      <w:r>
        <w:tab/>
      </w:r>
      <w:r>
        <w:fldChar w:fldCharType="begin" w:fldLock="1"/>
      </w:r>
      <w:r>
        <w:instrText xml:space="preserve"> PAGEREF _Toc48658197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"_Toc48658198" </w:instrText>
      </w:r>
      <w:r>
        <w:fldChar w:fldCharType="separate"/>
      </w:r>
      <w:r>
        <w:rPr>
          <w:rStyle w:val="34"/>
        </w:rPr>
        <w:t>2</w:t>
      </w:r>
      <w:r>
        <w:rPr>
          <w:rStyle w:val="34"/>
          <w:rFonts w:hint="eastAsia"/>
        </w:rPr>
        <w:t>　规范性引用文件</w:t>
      </w:r>
      <w:r>
        <w:tab/>
      </w:r>
      <w:r>
        <w:fldChar w:fldCharType="begin" w:fldLock="1"/>
      </w:r>
      <w:r>
        <w:instrText xml:space="preserve"> PAGEREF _Toc48658198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"_Toc48658200" </w:instrText>
      </w:r>
      <w:r>
        <w:fldChar w:fldCharType="separate"/>
      </w:r>
      <w:r>
        <w:rPr>
          <w:rStyle w:val="34"/>
        </w:rPr>
        <w:t>3</w:t>
      </w:r>
      <w:r>
        <w:rPr>
          <w:rStyle w:val="34"/>
          <w:rFonts w:hint="eastAsia"/>
        </w:rPr>
        <w:t>　下列术语和定义适用于本标准。</w:t>
      </w:r>
      <w:r>
        <w:tab/>
      </w:r>
      <w:r>
        <w:fldChar w:fldCharType="begin" w:fldLock="1"/>
      </w:r>
      <w:r>
        <w:instrText xml:space="preserve"> PAGEREF _Toc48658200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"_Toc48658201" </w:instrText>
      </w:r>
      <w:r>
        <w:fldChar w:fldCharType="separate"/>
      </w:r>
      <w:r>
        <w:rPr>
          <w:rStyle w:val="34"/>
        </w:rPr>
        <w:t>3.1</w:t>
      </w:r>
      <w:r>
        <w:rPr>
          <w:rStyle w:val="34"/>
          <w:rFonts w:hint="eastAsia"/>
        </w:rPr>
        <w:t>　金线莲</w:t>
      </w:r>
      <w:r>
        <w:tab/>
      </w:r>
      <w:r>
        <w:fldChar w:fldCharType="begin" w:fldLock="1"/>
      </w:r>
      <w:r>
        <w:instrText xml:space="preserve"> PAGEREF _Toc48658201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"_Toc48658202" </w:instrText>
      </w:r>
      <w:r>
        <w:fldChar w:fldCharType="separate"/>
      </w:r>
      <w:r>
        <w:rPr>
          <w:rStyle w:val="34"/>
        </w:rPr>
        <w:t>3.2</w:t>
      </w:r>
      <w:r>
        <w:rPr>
          <w:rStyle w:val="34"/>
          <w:rFonts w:hint="eastAsia"/>
        </w:rPr>
        <w:t>　林下栽培</w:t>
      </w:r>
      <w:r>
        <w:tab/>
      </w:r>
      <w:r>
        <w:fldChar w:fldCharType="begin" w:fldLock="1"/>
      </w:r>
      <w:r>
        <w:instrText xml:space="preserve"> PAGEREF _Toc48658202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"_Toc48658203" </w:instrText>
      </w:r>
      <w:r>
        <w:fldChar w:fldCharType="separate"/>
      </w:r>
      <w:r>
        <w:rPr>
          <w:rStyle w:val="34"/>
        </w:rPr>
        <w:t>4</w:t>
      </w:r>
      <w:r>
        <w:rPr>
          <w:rStyle w:val="34"/>
          <w:rFonts w:hint="eastAsia"/>
        </w:rPr>
        <w:t>　种苗生产</w:t>
      </w:r>
      <w:r>
        <w:tab/>
      </w:r>
      <w:r>
        <w:fldChar w:fldCharType="begin" w:fldLock="1"/>
      </w:r>
      <w:r>
        <w:instrText xml:space="preserve"> PAGEREF _Toc48658203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"_Toc48658204" </w:instrText>
      </w:r>
      <w:r>
        <w:fldChar w:fldCharType="separate"/>
      </w:r>
      <w:r>
        <w:rPr>
          <w:rStyle w:val="34"/>
        </w:rPr>
        <w:t>4.1</w:t>
      </w:r>
      <w:r>
        <w:rPr>
          <w:rStyle w:val="34"/>
          <w:rFonts w:hint="eastAsia"/>
        </w:rPr>
        <w:t>　育苗基地选择</w:t>
      </w:r>
      <w:r>
        <w:tab/>
      </w:r>
      <w:r>
        <w:fldChar w:fldCharType="begin" w:fldLock="1"/>
      </w:r>
      <w:r>
        <w:instrText xml:space="preserve"> PAGEREF _Toc48658204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"_Toc48658205" </w:instrText>
      </w:r>
      <w:r>
        <w:fldChar w:fldCharType="separate"/>
      </w:r>
      <w:r>
        <w:rPr>
          <w:rStyle w:val="34"/>
        </w:rPr>
        <w:t>4.2</w:t>
      </w:r>
      <w:r>
        <w:rPr>
          <w:rStyle w:val="34"/>
          <w:rFonts w:hint="eastAsia"/>
        </w:rPr>
        <w:t>　种苗选择</w:t>
      </w:r>
      <w:r>
        <w:tab/>
      </w:r>
      <w:r>
        <w:fldChar w:fldCharType="begin" w:fldLock="1"/>
      </w:r>
      <w:r>
        <w:instrText xml:space="preserve"> PAGEREF _Toc48658205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"_Toc48658206" </w:instrText>
      </w:r>
      <w:r>
        <w:fldChar w:fldCharType="separate"/>
      </w:r>
      <w:r>
        <w:rPr>
          <w:rStyle w:val="34"/>
        </w:rPr>
        <w:t>4.3</w:t>
      </w:r>
      <w:r>
        <w:rPr>
          <w:rStyle w:val="34"/>
          <w:rFonts w:hint="eastAsia"/>
        </w:rPr>
        <w:t>　炼苗</w:t>
      </w:r>
      <w:r>
        <w:tab/>
      </w:r>
      <w:r>
        <w:fldChar w:fldCharType="begin" w:fldLock="1"/>
      </w:r>
      <w:r>
        <w:instrText xml:space="preserve"> PAGEREF _Toc48658206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"_Toc48658207" </w:instrText>
      </w:r>
      <w:r>
        <w:fldChar w:fldCharType="separate"/>
      </w:r>
      <w:r>
        <w:rPr>
          <w:rStyle w:val="34"/>
        </w:rPr>
        <w:t>4.4</w:t>
      </w:r>
      <w:r>
        <w:rPr>
          <w:rStyle w:val="34"/>
          <w:rFonts w:hint="eastAsia"/>
        </w:rPr>
        <w:t>　组培苗清洗和消毒</w:t>
      </w:r>
      <w:r>
        <w:tab/>
      </w:r>
      <w:r>
        <w:fldChar w:fldCharType="begin" w:fldLock="1"/>
      </w:r>
      <w:r>
        <w:instrText xml:space="preserve"> PAGEREF _Toc48658207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"_Toc48658208" </w:instrText>
      </w:r>
      <w:r>
        <w:fldChar w:fldCharType="separate"/>
      </w:r>
      <w:r>
        <w:rPr>
          <w:rStyle w:val="34"/>
        </w:rPr>
        <w:t>5</w:t>
      </w:r>
      <w:r>
        <w:rPr>
          <w:rStyle w:val="34"/>
          <w:rFonts w:hint="eastAsia"/>
        </w:rPr>
        <w:t>　林下栽培</w:t>
      </w:r>
      <w:r>
        <w:tab/>
      </w:r>
      <w:r>
        <w:fldChar w:fldCharType="begin" w:fldLock="1"/>
      </w:r>
      <w:r>
        <w:instrText xml:space="preserve"> PAGEREF _Toc48658208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"_Toc48658209" </w:instrText>
      </w:r>
      <w:r>
        <w:fldChar w:fldCharType="separate"/>
      </w:r>
      <w:r>
        <w:rPr>
          <w:rStyle w:val="34"/>
        </w:rPr>
        <w:t>5.1</w:t>
      </w:r>
      <w:r>
        <w:rPr>
          <w:rStyle w:val="34"/>
          <w:rFonts w:hint="eastAsia"/>
        </w:rPr>
        <w:t>　林地选择</w:t>
      </w:r>
      <w:r>
        <w:tab/>
      </w:r>
      <w:r>
        <w:fldChar w:fldCharType="begin" w:fldLock="1"/>
      </w:r>
      <w:r>
        <w:instrText xml:space="preserve"> PAGEREF _Toc48658209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"_Toc48658210" </w:instrText>
      </w:r>
      <w:r>
        <w:fldChar w:fldCharType="separate"/>
      </w:r>
      <w:r>
        <w:rPr>
          <w:rStyle w:val="34"/>
        </w:rPr>
        <w:t>5.2</w:t>
      </w:r>
      <w:r>
        <w:rPr>
          <w:rStyle w:val="34"/>
          <w:rFonts w:hint="eastAsia"/>
        </w:rPr>
        <w:t>　整地作床</w:t>
      </w:r>
      <w:r>
        <w:tab/>
      </w:r>
      <w:r>
        <w:fldChar w:fldCharType="begin" w:fldLock="1"/>
      </w:r>
      <w:r>
        <w:instrText xml:space="preserve"> PAGEREF _Toc48658210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"_Toc48658211" </w:instrText>
      </w:r>
      <w:r>
        <w:fldChar w:fldCharType="separate"/>
      </w:r>
      <w:r>
        <w:rPr>
          <w:rStyle w:val="34"/>
        </w:rPr>
        <w:t>5.3</w:t>
      </w:r>
      <w:r>
        <w:rPr>
          <w:rStyle w:val="34"/>
          <w:rFonts w:hint="eastAsia"/>
        </w:rPr>
        <w:t>　种植时间</w:t>
      </w:r>
      <w:r>
        <w:tab/>
      </w:r>
      <w:r>
        <w:fldChar w:fldCharType="begin" w:fldLock="1"/>
      </w:r>
      <w:r>
        <w:instrText xml:space="preserve"> PAGEREF _Toc48658211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"_Toc48658212" </w:instrText>
      </w:r>
      <w:r>
        <w:fldChar w:fldCharType="separate"/>
      </w:r>
      <w:r>
        <w:rPr>
          <w:rStyle w:val="34"/>
        </w:rPr>
        <w:t>5.4</w:t>
      </w:r>
      <w:r>
        <w:rPr>
          <w:rStyle w:val="34"/>
          <w:rFonts w:hint="eastAsia"/>
        </w:rPr>
        <w:t>　移栽</w:t>
      </w:r>
      <w:r>
        <w:tab/>
      </w:r>
      <w:r>
        <w:fldChar w:fldCharType="begin" w:fldLock="1"/>
      </w:r>
      <w:r>
        <w:instrText xml:space="preserve"> PAGEREF _Toc48658212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"_Toc48658213" </w:instrText>
      </w:r>
      <w:r>
        <w:fldChar w:fldCharType="separate"/>
      </w:r>
      <w:r>
        <w:rPr>
          <w:rStyle w:val="34"/>
        </w:rPr>
        <w:t>5.5</w:t>
      </w:r>
      <w:r>
        <w:rPr>
          <w:rStyle w:val="34"/>
          <w:rFonts w:hint="eastAsia"/>
        </w:rPr>
        <w:t>　光照强度</w:t>
      </w:r>
      <w:r>
        <w:tab/>
      </w:r>
      <w:r>
        <w:fldChar w:fldCharType="begin" w:fldLock="1"/>
      </w:r>
      <w:r>
        <w:instrText xml:space="preserve"> PAGEREF _Toc48658213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"_Toc48658214" </w:instrText>
      </w:r>
      <w:r>
        <w:fldChar w:fldCharType="separate"/>
      </w:r>
      <w:r>
        <w:rPr>
          <w:rStyle w:val="34"/>
        </w:rPr>
        <w:t>5.6</w:t>
      </w:r>
      <w:r>
        <w:rPr>
          <w:rStyle w:val="34"/>
          <w:rFonts w:hint="eastAsia"/>
        </w:rPr>
        <w:t>　栽培模式</w:t>
      </w:r>
      <w:r>
        <w:tab/>
      </w:r>
      <w:r>
        <w:fldChar w:fldCharType="begin" w:fldLock="1"/>
      </w:r>
      <w:r>
        <w:instrText xml:space="preserve"> PAGEREF _Toc48658214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"_Toc48658215" </w:instrText>
      </w:r>
      <w:r>
        <w:fldChar w:fldCharType="separate"/>
      </w:r>
      <w:r>
        <w:rPr>
          <w:rStyle w:val="34"/>
        </w:rPr>
        <w:t>6</w:t>
      </w:r>
      <w:r>
        <w:rPr>
          <w:rStyle w:val="34"/>
          <w:rFonts w:hint="eastAsia"/>
        </w:rPr>
        <w:t>　栽后管理</w:t>
      </w:r>
      <w:r>
        <w:tab/>
      </w:r>
      <w:r>
        <w:fldChar w:fldCharType="begin" w:fldLock="1"/>
      </w:r>
      <w:r>
        <w:instrText xml:space="preserve"> PAGEREF _Toc48658215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"_Toc48658216" </w:instrText>
      </w:r>
      <w:r>
        <w:fldChar w:fldCharType="separate"/>
      </w:r>
      <w:r>
        <w:rPr>
          <w:rStyle w:val="34"/>
        </w:rPr>
        <w:t>6.1</w:t>
      </w:r>
      <w:r>
        <w:rPr>
          <w:rStyle w:val="34"/>
          <w:rFonts w:hint="eastAsia"/>
        </w:rPr>
        <w:t>　设施准备</w:t>
      </w:r>
      <w:r>
        <w:tab/>
      </w:r>
      <w:r>
        <w:fldChar w:fldCharType="begin" w:fldLock="1"/>
      </w:r>
      <w:r>
        <w:instrText xml:space="preserve"> PAGEREF _Toc48658216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"_Toc48658217" </w:instrText>
      </w:r>
      <w:r>
        <w:fldChar w:fldCharType="separate"/>
      </w:r>
      <w:r>
        <w:rPr>
          <w:rStyle w:val="34"/>
        </w:rPr>
        <w:t>6.2</w:t>
      </w:r>
      <w:r>
        <w:rPr>
          <w:rStyle w:val="34"/>
          <w:rFonts w:hint="eastAsia"/>
        </w:rPr>
        <w:t>　施肥</w:t>
      </w:r>
      <w:r>
        <w:tab/>
      </w:r>
      <w:r>
        <w:fldChar w:fldCharType="begin" w:fldLock="1"/>
      </w:r>
      <w:r>
        <w:instrText xml:space="preserve"> PAGEREF _Toc48658217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"_Toc48658218" </w:instrText>
      </w:r>
      <w:r>
        <w:fldChar w:fldCharType="separate"/>
      </w:r>
      <w:r>
        <w:rPr>
          <w:rStyle w:val="34"/>
        </w:rPr>
        <w:t>6.3</w:t>
      </w:r>
      <w:r>
        <w:rPr>
          <w:rStyle w:val="34"/>
          <w:rFonts w:hint="eastAsia"/>
        </w:rPr>
        <w:t>　除草</w:t>
      </w:r>
      <w:r>
        <w:tab/>
      </w:r>
      <w:r>
        <w:fldChar w:fldCharType="begin" w:fldLock="1"/>
      </w:r>
      <w:r>
        <w:instrText xml:space="preserve"> PAGEREF _Toc48658218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"_Toc48658219" </w:instrText>
      </w:r>
      <w:r>
        <w:fldChar w:fldCharType="separate"/>
      </w:r>
      <w:r>
        <w:rPr>
          <w:rStyle w:val="34"/>
        </w:rPr>
        <w:t>7</w:t>
      </w:r>
      <w:r>
        <w:rPr>
          <w:rStyle w:val="34"/>
          <w:rFonts w:hint="eastAsia"/>
        </w:rPr>
        <w:t>　病虫害防治</w:t>
      </w:r>
      <w:r>
        <w:tab/>
      </w:r>
      <w:r>
        <w:fldChar w:fldCharType="begin" w:fldLock="1"/>
      </w:r>
      <w:r>
        <w:instrText xml:space="preserve"> PAGEREF _Toc48658219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"_Toc48658220" </w:instrText>
      </w:r>
      <w:r>
        <w:fldChar w:fldCharType="separate"/>
      </w:r>
      <w:r>
        <w:rPr>
          <w:rStyle w:val="34"/>
        </w:rPr>
        <w:t>7.1</w:t>
      </w:r>
      <w:r>
        <w:rPr>
          <w:rStyle w:val="34"/>
          <w:rFonts w:hint="eastAsia"/>
        </w:rPr>
        <w:t>　防治原则</w:t>
      </w:r>
      <w:r>
        <w:tab/>
      </w:r>
      <w:r>
        <w:fldChar w:fldCharType="begin" w:fldLock="1"/>
      </w:r>
      <w:r>
        <w:instrText xml:space="preserve"> PAGEREF _Toc48658220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"_Toc48658221" </w:instrText>
      </w:r>
      <w:r>
        <w:fldChar w:fldCharType="separate"/>
      </w:r>
      <w:r>
        <w:rPr>
          <w:rStyle w:val="34"/>
        </w:rPr>
        <w:t>7.2</w:t>
      </w:r>
      <w:r>
        <w:rPr>
          <w:rStyle w:val="34"/>
          <w:rFonts w:hint="eastAsia"/>
        </w:rPr>
        <w:t>　主要病虫害</w:t>
      </w:r>
      <w:r>
        <w:tab/>
      </w:r>
      <w:r>
        <w:fldChar w:fldCharType="begin" w:fldLock="1"/>
      </w:r>
      <w:r>
        <w:instrText xml:space="preserve"> PAGEREF _Toc48658221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ind w:firstLine="42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"_Toc48658222" </w:instrText>
      </w:r>
      <w:r>
        <w:fldChar w:fldCharType="separate"/>
      </w:r>
      <w:r>
        <w:rPr>
          <w:rStyle w:val="34"/>
        </w:rPr>
        <w:t>7.2.1</w:t>
      </w:r>
      <w:r>
        <w:rPr>
          <w:rStyle w:val="34"/>
          <w:rFonts w:hint="eastAsia"/>
        </w:rPr>
        <w:t>　主要病害</w:t>
      </w:r>
      <w:r>
        <w:tab/>
      </w:r>
      <w:r>
        <w:fldChar w:fldCharType="begin" w:fldLock="1"/>
      </w:r>
      <w:r>
        <w:instrText xml:space="preserve"> PAGEREF _Toc48658222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ind w:firstLine="42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"_Toc48658223" </w:instrText>
      </w:r>
      <w:r>
        <w:fldChar w:fldCharType="separate"/>
      </w:r>
      <w:r>
        <w:rPr>
          <w:rStyle w:val="34"/>
        </w:rPr>
        <w:t>7.2.2</w:t>
      </w:r>
      <w:r>
        <w:rPr>
          <w:rStyle w:val="34"/>
          <w:rFonts w:hint="eastAsia"/>
        </w:rPr>
        <w:t>　主要虫害</w:t>
      </w:r>
      <w:r>
        <w:rPr>
          <w:rStyle w:val="34"/>
        </w:rPr>
        <w:t>:</w:t>
      </w:r>
      <w:r>
        <w:tab/>
      </w:r>
      <w:r>
        <w:fldChar w:fldCharType="begin" w:fldLock="1"/>
      </w:r>
      <w:r>
        <w:instrText xml:space="preserve"> PAGEREF _Toc48658223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"_Toc48658224" </w:instrText>
      </w:r>
      <w:r>
        <w:fldChar w:fldCharType="separate"/>
      </w:r>
      <w:r>
        <w:rPr>
          <w:rStyle w:val="34"/>
        </w:rPr>
        <w:t>7.3</w:t>
      </w:r>
      <w:r>
        <w:rPr>
          <w:rStyle w:val="34"/>
          <w:rFonts w:hint="eastAsia"/>
        </w:rPr>
        <w:t>　防治方法</w:t>
      </w:r>
      <w:r>
        <w:tab/>
      </w:r>
      <w:r>
        <w:fldChar w:fldCharType="begin" w:fldLock="1"/>
      </w:r>
      <w:r>
        <w:instrText xml:space="preserve"> PAGEREF _Toc48658224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ind w:firstLine="42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"_Toc48658225" </w:instrText>
      </w:r>
      <w:r>
        <w:fldChar w:fldCharType="separate"/>
      </w:r>
      <w:r>
        <w:rPr>
          <w:rStyle w:val="34"/>
        </w:rPr>
        <w:t>7.3.1</w:t>
      </w:r>
      <w:r>
        <w:rPr>
          <w:rStyle w:val="34"/>
          <w:rFonts w:hint="eastAsia"/>
        </w:rPr>
        <w:t>　农业措施</w:t>
      </w:r>
      <w:r>
        <w:tab/>
      </w:r>
      <w:r>
        <w:fldChar w:fldCharType="begin" w:fldLock="1"/>
      </w:r>
      <w:r>
        <w:instrText xml:space="preserve"> PAGEREF _Toc48658225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ind w:firstLine="42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"_Toc48658226" </w:instrText>
      </w:r>
      <w:r>
        <w:fldChar w:fldCharType="separate"/>
      </w:r>
      <w:r>
        <w:rPr>
          <w:rStyle w:val="34"/>
        </w:rPr>
        <w:t>7.3.2</w:t>
      </w:r>
      <w:r>
        <w:rPr>
          <w:rStyle w:val="34"/>
          <w:rFonts w:hint="eastAsia"/>
        </w:rPr>
        <w:t>　物理防治</w:t>
      </w:r>
      <w:r>
        <w:tab/>
      </w:r>
      <w:r>
        <w:fldChar w:fldCharType="begin" w:fldLock="1"/>
      </w:r>
      <w:r>
        <w:instrText xml:space="preserve"> PAGEREF _Toc48658226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ind w:firstLine="42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"_Toc48658227" </w:instrText>
      </w:r>
      <w:r>
        <w:fldChar w:fldCharType="separate"/>
      </w:r>
      <w:r>
        <w:rPr>
          <w:rStyle w:val="34"/>
        </w:rPr>
        <w:t>7.3.3</w:t>
      </w:r>
      <w:r>
        <w:rPr>
          <w:rStyle w:val="34"/>
          <w:rFonts w:hint="eastAsia"/>
        </w:rPr>
        <w:t>　生物防治</w:t>
      </w:r>
      <w:r>
        <w:tab/>
      </w:r>
      <w:r>
        <w:fldChar w:fldCharType="begin" w:fldLock="1"/>
      </w:r>
      <w:r>
        <w:instrText xml:space="preserve"> PAGEREF _Toc48658227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ind w:firstLine="42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"_Toc48658228" </w:instrText>
      </w:r>
      <w:r>
        <w:fldChar w:fldCharType="separate"/>
      </w:r>
      <w:r>
        <w:rPr>
          <w:rStyle w:val="34"/>
        </w:rPr>
        <w:t>7.3.4</w:t>
      </w:r>
      <w:r>
        <w:rPr>
          <w:rStyle w:val="34"/>
          <w:rFonts w:hint="eastAsia"/>
        </w:rPr>
        <w:t>　化学防治</w:t>
      </w:r>
      <w:r>
        <w:tab/>
      </w:r>
      <w:r>
        <w:fldChar w:fldCharType="begin" w:fldLock="1"/>
      </w:r>
      <w:r>
        <w:instrText xml:space="preserve"> PAGEREF _Toc48658228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"_Toc48658229" </w:instrText>
      </w:r>
      <w:r>
        <w:fldChar w:fldCharType="separate"/>
      </w:r>
      <w:r>
        <w:rPr>
          <w:rStyle w:val="34"/>
        </w:rPr>
        <w:t>8</w:t>
      </w:r>
      <w:r>
        <w:rPr>
          <w:rStyle w:val="34"/>
          <w:rFonts w:hint="eastAsia"/>
        </w:rPr>
        <w:t>　采收和加工</w:t>
      </w:r>
      <w:r>
        <w:tab/>
      </w:r>
      <w:r>
        <w:fldChar w:fldCharType="begin" w:fldLock="1"/>
      </w:r>
      <w:r>
        <w:instrText xml:space="preserve"> PAGEREF _Toc48658229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"_Toc48658230" </w:instrText>
      </w:r>
      <w:r>
        <w:fldChar w:fldCharType="separate"/>
      </w:r>
      <w:r>
        <w:rPr>
          <w:rStyle w:val="34"/>
        </w:rPr>
        <w:t>8.1</w:t>
      </w:r>
      <w:r>
        <w:rPr>
          <w:rStyle w:val="34"/>
          <w:rFonts w:hint="eastAsia" w:hAnsi="黑体"/>
        </w:rPr>
        <w:t>　采收时间</w:t>
      </w:r>
      <w:r>
        <w:tab/>
      </w:r>
      <w:r>
        <w:fldChar w:fldCharType="begin" w:fldLock="1"/>
      </w:r>
      <w:r>
        <w:instrText xml:space="preserve"> PAGEREF _Toc48658230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"_Toc48658231" </w:instrText>
      </w:r>
      <w:r>
        <w:fldChar w:fldCharType="separate"/>
      </w:r>
      <w:r>
        <w:rPr>
          <w:rStyle w:val="34"/>
        </w:rPr>
        <w:t>8.2</w:t>
      </w:r>
      <w:r>
        <w:rPr>
          <w:rStyle w:val="34"/>
          <w:rFonts w:hint="eastAsia" w:hAnsi="黑体"/>
        </w:rPr>
        <w:t>　采后处理及加工</w:t>
      </w:r>
      <w:r>
        <w:tab/>
      </w:r>
      <w:r>
        <w:fldChar w:fldCharType="begin" w:fldLock="1"/>
      </w:r>
      <w:r>
        <w:instrText xml:space="preserve"> PAGEREF _Toc48658231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"_Toc48658232" </w:instrText>
      </w:r>
      <w:r>
        <w:fldChar w:fldCharType="separate"/>
      </w:r>
      <w:r>
        <w:rPr>
          <w:rStyle w:val="34"/>
        </w:rPr>
        <w:t>9</w:t>
      </w:r>
      <w:r>
        <w:rPr>
          <w:rStyle w:val="34"/>
          <w:rFonts w:hint="eastAsia"/>
        </w:rPr>
        <w:t>质量安全管控</w:t>
      </w:r>
      <w:r>
        <w:tab/>
      </w:r>
      <w:r>
        <w:fldChar w:fldCharType="begin" w:fldLock="1"/>
      </w:r>
      <w:r>
        <w:instrText xml:space="preserve"> PAGEREF _Toc48658232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"_Toc48658233" </w:instrText>
      </w:r>
      <w:r>
        <w:fldChar w:fldCharType="separate"/>
      </w:r>
      <w:r>
        <w:rPr>
          <w:rStyle w:val="34"/>
        </w:rPr>
        <w:t>9.1</w:t>
      </w:r>
      <w:r>
        <w:rPr>
          <w:rStyle w:val="34"/>
          <w:rFonts w:hint="eastAsia"/>
        </w:rPr>
        <w:t>产品质量安全检测</w:t>
      </w:r>
      <w:r>
        <w:tab/>
      </w:r>
      <w:r>
        <w:fldChar w:fldCharType="begin" w:fldLock="1"/>
      </w:r>
      <w:r>
        <w:instrText xml:space="preserve"> PAGEREF _Toc48658233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"_Toc48658234" </w:instrText>
      </w:r>
      <w:r>
        <w:fldChar w:fldCharType="separate"/>
      </w:r>
      <w:r>
        <w:rPr>
          <w:rStyle w:val="34"/>
        </w:rPr>
        <w:t>9.2</w:t>
      </w:r>
      <w:r>
        <w:rPr>
          <w:rStyle w:val="34"/>
          <w:rFonts w:hint="eastAsia"/>
        </w:rPr>
        <w:t>追溯体系</w:t>
      </w:r>
      <w:r>
        <w:tab/>
      </w:r>
      <w:r>
        <w:fldChar w:fldCharType="begin" w:fldLock="1"/>
      </w:r>
      <w:r>
        <w:instrText xml:space="preserve"> PAGEREF _Toc48658234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"_Toc48658235" </w:instrText>
      </w:r>
      <w:r>
        <w:fldChar w:fldCharType="separate"/>
      </w:r>
      <w:r>
        <w:rPr>
          <w:rStyle w:val="34"/>
        </w:rPr>
        <w:t>9.3</w:t>
      </w:r>
      <w:r>
        <w:rPr>
          <w:rStyle w:val="34"/>
          <w:rFonts w:hint="eastAsia"/>
        </w:rPr>
        <w:t>生产记录</w:t>
      </w:r>
      <w:r>
        <w:tab/>
      </w:r>
      <w:r>
        <w:fldChar w:fldCharType="begin" w:fldLock="1"/>
      </w:r>
      <w:r>
        <w:instrText xml:space="preserve"> PAGEREF _Toc48658235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"_Toc48658236" </w:instrText>
      </w:r>
      <w:r>
        <w:fldChar w:fldCharType="separate"/>
      </w:r>
      <w:r>
        <w:rPr>
          <w:rStyle w:val="34"/>
        </w:rPr>
        <w:t>9.4</w:t>
      </w:r>
      <w:r>
        <w:rPr>
          <w:rStyle w:val="34"/>
          <w:rFonts w:hint="eastAsia"/>
        </w:rPr>
        <w:t>农田废弃物管理</w:t>
      </w:r>
      <w:r>
        <w:tab/>
      </w:r>
      <w:r>
        <w:fldChar w:fldCharType="begin" w:fldLock="1"/>
      </w:r>
      <w:r>
        <w:instrText xml:space="preserve"> PAGEREF _Toc48658236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"_Toc48658237" </w:instrText>
      </w:r>
      <w:r>
        <w:fldChar w:fldCharType="separate"/>
      </w:r>
      <w:r>
        <w:rPr>
          <w:rStyle w:val="34"/>
          <w:rFonts w:hint="eastAsia"/>
        </w:rPr>
        <w:t>附录A（资料性附录）</w:t>
      </w:r>
      <w:r>
        <w:rPr>
          <w:rStyle w:val="34"/>
        </w:rPr>
        <w:t>　</w:t>
      </w:r>
      <w:r>
        <w:rPr>
          <w:rStyle w:val="34"/>
          <w:rFonts w:hint="eastAsia"/>
        </w:rPr>
        <w:t>主要病虫害防治方法</w:t>
      </w:r>
      <w:r>
        <w:tab/>
      </w:r>
      <w:r>
        <w:fldChar w:fldCharType="begin" w:fldLock="1"/>
      </w:r>
      <w:r>
        <w:instrText xml:space="preserve"> PAGEREF _Toc48658237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0"/>
        <w:rPr>
          <w:rFonts w:hint="eastAsia"/>
        </w:rPr>
      </w:pPr>
      <w:r>
        <w:fldChar w:fldCharType="end"/>
      </w:r>
    </w:p>
    <w:p>
      <w:pPr>
        <w:pStyle w:val="107"/>
        <w:rPr>
          <w:rFonts w:hint="eastAsia"/>
        </w:rPr>
      </w:pPr>
      <w:bookmarkStart w:id="22" w:name="_Toc48658196"/>
      <w:r>
        <w:rPr>
          <w:rFonts w:hint="eastAsia"/>
        </w:rPr>
        <w:t>前</w:t>
      </w:r>
      <w:bookmarkStart w:id="23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20"/>
      <w:bookmarkEnd w:id="22"/>
      <w:bookmarkEnd w:id="23"/>
    </w:p>
    <w:p>
      <w:pPr>
        <w:pStyle w:val="20"/>
        <w:rPr>
          <w:rFonts w:hint="eastAsia"/>
        </w:rPr>
      </w:pPr>
      <w:r>
        <w:rPr>
          <w:rFonts w:hint="eastAsia"/>
        </w:rPr>
        <w:t>本标准按GB/T1.1-2009给出的规则起草。</w:t>
      </w:r>
    </w:p>
    <w:p>
      <w:pPr>
        <w:pStyle w:val="20"/>
        <w:rPr>
          <w:rFonts w:hint="eastAsia"/>
        </w:rPr>
      </w:pPr>
      <w:r>
        <w:rPr>
          <w:rFonts w:hint="eastAsia"/>
        </w:rPr>
        <w:t>本标准由金华市农业农村局提出并归口。</w:t>
      </w:r>
    </w:p>
    <w:p>
      <w:pPr>
        <w:pStyle w:val="20"/>
        <w:rPr>
          <w:rFonts w:hint="eastAsia"/>
          <w:szCs w:val="22"/>
        </w:rPr>
      </w:pPr>
      <w:r>
        <w:rPr>
          <w:rFonts w:hint="eastAsia"/>
        </w:rPr>
        <w:t>本规程起草单位：</w:t>
      </w:r>
      <w:r>
        <w:rPr>
          <w:rFonts w:hint="eastAsia"/>
          <w:szCs w:val="22"/>
        </w:rPr>
        <w:t>浙江匠康农业科技有限公司、金华市农业科学研究院、金华市林业种苗管理站</w:t>
      </w:r>
    </w:p>
    <w:p>
      <w:pPr>
        <w:pStyle w:val="20"/>
        <w:rPr>
          <w:rFonts w:hint="eastAsia"/>
        </w:rPr>
      </w:pPr>
      <w:r>
        <w:rPr>
          <w:rFonts w:hint="eastAsia"/>
          <w:szCs w:val="22"/>
        </w:rPr>
        <w:t>本规程主要起草人：周小军、孔向军、吴梅、何晓婵、</w:t>
      </w:r>
      <w:r>
        <w:rPr>
          <w:rFonts w:hint="eastAsia"/>
        </w:rPr>
        <w:t>朱丽燕、黄飞来、马巧群、徐寒艳、徐金晶</w:t>
      </w:r>
    </w:p>
    <w:p>
      <w:pPr>
        <w:pStyle w:val="20"/>
        <w:rPr>
          <w:rFonts w:hint="eastAsia"/>
        </w:rPr>
      </w:pPr>
      <w:r>
        <w:rPr>
          <w:rFonts w:hint="eastAsia"/>
        </w:rPr>
        <w:t>本标准为首次发布。</w:t>
      </w:r>
    </w:p>
    <w:p>
      <w:pPr>
        <w:pStyle w:val="20"/>
        <w:rPr>
          <w:rFonts w:hint="eastAsia"/>
        </w:rPr>
      </w:pPr>
    </w:p>
    <w:p>
      <w:pPr>
        <w:pStyle w:val="20"/>
        <w:rPr>
          <w:rFonts w:hint="eastAsia"/>
        </w:rPr>
      </w:pPr>
    </w:p>
    <w:p>
      <w:pPr>
        <w:pStyle w:val="20"/>
        <w:sectPr>
          <w:headerReference r:id="rId3" w:type="default"/>
          <w:footerReference r:id="rId4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45"/>
        <w:rPr>
          <w:rFonts w:hint="eastAsia"/>
        </w:rPr>
      </w:pPr>
      <w:r>
        <w:rPr>
          <w:rFonts w:hint="eastAsia"/>
        </w:rPr>
        <w:t>金</w:t>
      </w:r>
      <w:bookmarkStart w:id="24" w:name="StandardName"/>
      <w:r>
        <w:rPr>
          <w:rFonts w:hint="eastAsia"/>
        </w:rPr>
        <w:t>线莲林下栽培技术规程</w:t>
      </w:r>
      <w:r>
        <w:t> </w:t>
      </w:r>
      <w:bookmarkEnd w:id="24"/>
    </w:p>
    <w:p>
      <w:pPr>
        <w:pStyle w:val="40"/>
        <w:rPr>
          <w:rFonts w:hint="eastAsia"/>
        </w:rPr>
      </w:pPr>
      <w:bookmarkStart w:id="25" w:name="_Toc48658197"/>
      <w:bookmarkStart w:id="26" w:name="_Toc48657878"/>
      <w:bookmarkStart w:id="27" w:name="_Toc48643894"/>
      <w:r>
        <w:rPr>
          <w:rFonts w:hint="eastAsia"/>
        </w:rPr>
        <w:t>范围</w:t>
      </w:r>
      <w:bookmarkEnd w:id="25"/>
      <w:bookmarkEnd w:id="26"/>
      <w:bookmarkEnd w:id="27"/>
    </w:p>
    <w:p>
      <w:pPr>
        <w:pStyle w:val="20"/>
        <w:rPr>
          <w:rFonts w:hint="eastAsia"/>
        </w:rPr>
      </w:pPr>
      <w:bookmarkStart w:id="28" w:name="_Toc28343555"/>
      <w:bookmarkStart w:id="29" w:name="_Toc48643895"/>
      <w:r>
        <w:rPr>
          <w:rFonts w:hint="eastAsia"/>
        </w:rPr>
        <w:t>本标准规定了金线莲林下栽培的术语定义、基地要求、种源选择、种苗生产、栽培与管理、病虫害防治、采收和加工等内容。</w:t>
      </w:r>
      <w:bookmarkEnd w:id="28"/>
      <w:bookmarkStart w:id="30" w:name="_Toc28343556"/>
    </w:p>
    <w:p>
      <w:pPr>
        <w:pStyle w:val="20"/>
        <w:rPr>
          <w:rFonts w:hint="eastAsia"/>
        </w:rPr>
      </w:pPr>
      <w:r>
        <w:rPr>
          <w:rFonts w:hint="eastAsia"/>
        </w:rPr>
        <w:t>本规范适用于金华地区范围内林下金线莲栽培技术。</w:t>
      </w:r>
      <w:bookmarkEnd w:id="30"/>
    </w:p>
    <w:p>
      <w:pPr>
        <w:pStyle w:val="40"/>
        <w:rPr>
          <w:rFonts w:hint="eastAsia"/>
        </w:rPr>
      </w:pPr>
      <w:bookmarkStart w:id="31" w:name="_Toc48658198"/>
      <w:bookmarkStart w:id="32" w:name="_Toc48657879"/>
      <w:r>
        <w:rPr>
          <w:rFonts w:hint="eastAsia"/>
        </w:rPr>
        <w:t>规范性引用文件</w:t>
      </w:r>
      <w:bookmarkEnd w:id="29"/>
      <w:bookmarkEnd w:id="31"/>
      <w:bookmarkEnd w:id="32"/>
    </w:p>
    <w:p>
      <w:pPr>
        <w:pStyle w:val="20"/>
        <w:adjustRightInd w:val="0"/>
        <w:snapToGrid w:val="0"/>
        <w:spacing w:line="360" w:lineRule="auto"/>
        <w:rPr>
          <w:rFonts w:hint="eastAsia" w:hAnsi="宋体"/>
          <w:szCs w:val="21"/>
        </w:rPr>
      </w:pPr>
      <w:r>
        <w:rPr>
          <w:rFonts w:hAnsi="宋体"/>
          <w:szCs w:val="2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0"/>
        <w:adjustRightInd w:val="0"/>
        <w:snapToGrid w:val="0"/>
        <w:spacing w:line="360" w:lineRule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 xml:space="preserve">GB 4285                农药安全使用标准 </w:t>
      </w:r>
    </w:p>
    <w:p>
      <w:pPr>
        <w:pStyle w:val="20"/>
        <w:adjustRightInd w:val="0"/>
        <w:snapToGrid w:val="0"/>
        <w:spacing w:line="360" w:lineRule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 xml:space="preserve">GB/T 8321              农药合理使用准则 </w:t>
      </w:r>
    </w:p>
    <w:p>
      <w:pPr>
        <w:pStyle w:val="40"/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420" w:firstLineChars="200"/>
        <w:rPr>
          <w:rFonts w:hint="eastAsia" w:ascii="宋体" w:hAnsi="宋体" w:eastAsia="宋体"/>
          <w:szCs w:val="21"/>
        </w:rPr>
      </w:pPr>
      <w:bookmarkStart w:id="33" w:name="_Toc28347646"/>
      <w:bookmarkStart w:id="34" w:name="_Toc28345640"/>
      <w:bookmarkStart w:id="35" w:name="_Toc28346150"/>
      <w:bookmarkStart w:id="36" w:name="_Toc28345347"/>
      <w:bookmarkStart w:id="37" w:name="_Toc28345707"/>
      <w:bookmarkStart w:id="38" w:name="_Toc28347586"/>
      <w:bookmarkStart w:id="39" w:name="_Toc48657880"/>
      <w:bookmarkStart w:id="40" w:name="_Toc48658199"/>
      <w:r>
        <w:rPr>
          <w:rFonts w:hint="eastAsia" w:ascii="宋体" w:hAnsi="宋体" w:eastAsia="宋体"/>
          <w:szCs w:val="21"/>
        </w:rPr>
        <w:t>NY/T 496-2002          肥料合理使用准则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>
      <w:pPr>
        <w:pStyle w:val="20"/>
        <w:adjustRightInd w:val="0"/>
        <w:snapToGrid w:val="0"/>
        <w:spacing w:line="360" w:lineRule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GB 15618               土壤环境质量标准</w:t>
      </w:r>
    </w:p>
    <w:p>
      <w:pPr>
        <w:pStyle w:val="20"/>
        <w:adjustRightInd w:val="0"/>
        <w:snapToGrid w:val="0"/>
        <w:spacing w:line="360" w:lineRule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GB 3095                环境空气质量标准</w:t>
      </w:r>
    </w:p>
    <w:p>
      <w:pPr>
        <w:pStyle w:val="20"/>
        <w:adjustRightInd w:val="0"/>
        <w:snapToGrid w:val="0"/>
        <w:spacing w:line="360" w:lineRule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GB 5084                农田灌溉水水质标准</w:t>
      </w:r>
    </w:p>
    <w:p>
      <w:pPr>
        <w:pStyle w:val="20"/>
        <w:adjustRightInd w:val="0"/>
        <w:snapToGrid w:val="0"/>
        <w:spacing w:line="360" w:lineRule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LY/T 1678              森林食品 产地环境通用要求</w:t>
      </w:r>
    </w:p>
    <w:p>
      <w:pPr>
        <w:pStyle w:val="2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LY/T 1777-2008         森林食品 质量安全通则</w:t>
      </w:r>
    </w:p>
    <w:p>
      <w:pPr>
        <w:pStyle w:val="20"/>
        <w:rPr>
          <w:rFonts w:hint="eastAsia"/>
        </w:rPr>
      </w:pPr>
    </w:p>
    <w:p>
      <w:pPr>
        <w:pStyle w:val="40"/>
        <w:rPr>
          <w:rFonts w:ascii="Times New Roman"/>
          <w:szCs w:val="21"/>
        </w:rPr>
      </w:pPr>
      <w:bookmarkStart w:id="41" w:name="_Toc48643896"/>
      <w:bookmarkEnd w:id="41"/>
      <w:bookmarkStart w:id="42" w:name="_Toc28345708"/>
      <w:bookmarkStart w:id="43" w:name="_Toc48658200"/>
      <w:bookmarkStart w:id="44" w:name="_Toc28347587"/>
      <w:bookmarkStart w:id="45" w:name="_Toc28346151"/>
      <w:bookmarkStart w:id="46" w:name="_Toc28345348"/>
      <w:bookmarkStart w:id="47" w:name="_Toc28347647"/>
      <w:bookmarkStart w:id="48" w:name="_Toc28345641"/>
      <w:bookmarkStart w:id="49" w:name="_Toc48657881"/>
      <w:r>
        <w:t>下列术语和定义适用于本标准。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Times New Roman"/>
          <w:szCs w:val="21"/>
        </w:rPr>
        <w:t xml:space="preserve"> </w:t>
      </w:r>
    </w:p>
    <w:p>
      <w:pPr>
        <w:pStyle w:val="37"/>
        <w:rPr>
          <w:rFonts w:hint="eastAsia"/>
        </w:rPr>
      </w:pPr>
      <w:bookmarkStart w:id="50" w:name="_Toc28347588"/>
      <w:bookmarkStart w:id="51" w:name="_Toc28347648"/>
      <w:bookmarkStart w:id="52" w:name="_Toc28346152"/>
      <w:bookmarkStart w:id="53" w:name="_Toc48657882"/>
      <w:bookmarkStart w:id="54" w:name="_Toc48658201"/>
      <w:r>
        <w:rPr>
          <w:rFonts w:hint="eastAsia"/>
        </w:rPr>
        <w:t>金线莲</w:t>
      </w:r>
      <w:bookmarkEnd w:id="50"/>
      <w:bookmarkEnd w:id="51"/>
      <w:bookmarkEnd w:id="52"/>
      <w:bookmarkEnd w:id="53"/>
      <w:bookmarkEnd w:id="54"/>
    </w:p>
    <w:p>
      <w:pPr>
        <w:pStyle w:val="20"/>
        <w:spacing w:line="360" w:lineRule="auto"/>
        <w:rPr>
          <w:rFonts w:hint="eastAsia" w:hAnsi="宋体"/>
          <w:szCs w:val="21"/>
        </w:rPr>
      </w:pPr>
      <w:r>
        <w:rPr>
          <w:rFonts w:hint="eastAsia" w:ascii="Times New Roman"/>
          <w:szCs w:val="21"/>
        </w:rPr>
        <w:t>又叫金线兰，为</w:t>
      </w:r>
      <w:r>
        <w:rPr>
          <w:rFonts w:ascii="Times New Roman"/>
          <w:szCs w:val="21"/>
        </w:rPr>
        <w:t>兰科开唇兰属</w:t>
      </w:r>
      <w:r>
        <w:rPr>
          <w:rFonts w:ascii="Times New Roman"/>
          <w:i/>
          <w:szCs w:val="21"/>
        </w:rPr>
        <w:t>Anoectochilus roxburghii</w:t>
      </w:r>
      <w:r>
        <w:rPr>
          <w:rFonts w:ascii="Times New Roman"/>
          <w:szCs w:val="21"/>
        </w:rPr>
        <w:t xml:space="preserve"> (Wall.) Lindl.，为多年生草本植物，分布于海拔50</w:t>
      </w:r>
      <w:r>
        <w:rPr>
          <w:rFonts w:ascii="Times New Roman"/>
          <w:color w:val="000000"/>
          <w:kern w:val="2"/>
          <w:szCs w:val="21"/>
        </w:rPr>
        <w:t>～</w:t>
      </w:r>
      <w:r>
        <w:rPr>
          <w:rFonts w:ascii="Times New Roman"/>
          <w:szCs w:val="21"/>
        </w:rPr>
        <w:t>1600 m的常绿阔叶林下或沟谷阴湿处。植株高8</w:t>
      </w:r>
      <w:r>
        <w:rPr>
          <w:rFonts w:ascii="Times New Roman"/>
          <w:color w:val="000000"/>
          <w:kern w:val="2"/>
          <w:szCs w:val="21"/>
        </w:rPr>
        <w:t>～</w:t>
      </w:r>
      <w:r>
        <w:rPr>
          <w:rFonts w:ascii="Times New Roman"/>
          <w:szCs w:val="21"/>
        </w:rPr>
        <w:t>18 cm，根状茎匍匐，伸长，肉质，具节，节上生根。茎直立，肉质，圆柱形。叶片卵圆形或卵形，长1.3</w:t>
      </w:r>
      <w:r>
        <w:rPr>
          <w:rFonts w:ascii="Times New Roman"/>
          <w:color w:val="000000"/>
          <w:kern w:val="2"/>
          <w:szCs w:val="21"/>
        </w:rPr>
        <w:t>～</w:t>
      </w:r>
      <w:r>
        <w:rPr>
          <w:rFonts w:ascii="Times New Roman"/>
          <w:szCs w:val="21"/>
        </w:rPr>
        <w:t>3.5 cm，宽0.8</w:t>
      </w:r>
      <w:r>
        <w:rPr>
          <w:rFonts w:ascii="Times New Roman"/>
          <w:color w:val="000000"/>
          <w:kern w:val="2"/>
          <w:szCs w:val="21"/>
        </w:rPr>
        <w:t>～</w:t>
      </w:r>
      <w:r>
        <w:rPr>
          <w:rFonts w:ascii="Times New Roman"/>
          <w:szCs w:val="21"/>
        </w:rPr>
        <w:t>3 cm，上面暗紫色或黑紫色，具金黄色带有绢丝光泽的网脉，背面淡紫红色，先端近急尖或稍钝，基部近截形或圆形，骤狭成柄；叶柄长4</w:t>
      </w:r>
      <w:r>
        <w:rPr>
          <w:rFonts w:ascii="Times New Roman"/>
          <w:color w:val="000000"/>
          <w:kern w:val="2"/>
          <w:szCs w:val="21"/>
        </w:rPr>
        <w:t>～</w:t>
      </w:r>
      <w:r>
        <w:rPr>
          <w:rFonts w:ascii="Times New Roman"/>
          <w:szCs w:val="21"/>
        </w:rPr>
        <w:t>10 mm，基部扩大成抱茎的鞘；花期9</w:t>
      </w:r>
      <w:r>
        <w:rPr>
          <w:rFonts w:ascii="Times New Roman"/>
          <w:color w:val="000000"/>
          <w:kern w:val="2"/>
          <w:szCs w:val="21"/>
        </w:rPr>
        <w:t>～</w:t>
      </w:r>
      <w:r>
        <w:rPr>
          <w:rFonts w:ascii="Times New Roman"/>
          <w:szCs w:val="21"/>
        </w:rPr>
        <w:t>11月。</w:t>
      </w:r>
    </w:p>
    <w:p>
      <w:pPr>
        <w:pStyle w:val="37"/>
        <w:rPr>
          <w:rFonts w:hint="eastAsia"/>
        </w:rPr>
      </w:pPr>
      <w:bookmarkStart w:id="55" w:name="_Toc28346154"/>
      <w:bookmarkStart w:id="56" w:name="_Toc28347650"/>
      <w:bookmarkStart w:id="57" w:name="_Toc28347590"/>
      <w:bookmarkStart w:id="58" w:name="_Toc48658202"/>
      <w:bookmarkStart w:id="59" w:name="_Toc48657883"/>
      <w:r>
        <w:rPr>
          <w:rFonts w:hint="eastAsia"/>
        </w:rPr>
        <w:t>林下</w:t>
      </w:r>
      <w:bookmarkEnd w:id="55"/>
      <w:bookmarkEnd w:id="56"/>
      <w:bookmarkEnd w:id="57"/>
      <w:r>
        <w:rPr>
          <w:rFonts w:hint="eastAsia"/>
        </w:rPr>
        <w:t>栽培</w:t>
      </w:r>
      <w:bookmarkEnd w:id="58"/>
      <w:bookmarkEnd w:id="59"/>
    </w:p>
    <w:p>
      <w:pPr>
        <w:pStyle w:val="20"/>
        <w:adjustRightInd w:val="0"/>
        <w:spacing w:line="360" w:lineRule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利用林下空间，进行林药复合生态化栽培。</w:t>
      </w:r>
    </w:p>
    <w:p>
      <w:pPr>
        <w:pStyle w:val="40"/>
        <w:rPr>
          <w:rFonts w:hint="eastAsia"/>
        </w:rPr>
      </w:pPr>
      <w:bookmarkStart w:id="60" w:name="_Toc28345709"/>
      <w:bookmarkStart w:id="61" w:name="_Toc28347651"/>
      <w:bookmarkStart w:id="62" w:name="_Toc28345349"/>
      <w:bookmarkStart w:id="63" w:name="_Toc28345642"/>
      <w:bookmarkStart w:id="64" w:name="_Toc28346155"/>
      <w:bookmarkStart w:id="65" w:name="_Toc28347591"/>
      <w:bookmarkStart w:id="66" w:name="_Toc48657884"/>
      <w:bookmarkStart w:id="67" w:name="_Toc48658203"/>
      <w:r>
        <w:rPr>
          <w:rFonts w:hint="eastAsia"/>
        </w:rPr>
        <w:t>种苗生产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>
      <w:pPr>
        <w:pStyle w:val="37"/>
        <w:rPr>
          <w:rFonts w:hint="eastAsia"/>
        </w:rPr>
      </w:pPr>
      <w:bookmarkStart w:id="68" w:name="_Toc28347592"/>
      <w:bookmarkStart w:id="69" w:name="_Toc28347652"/>
      <w:bookmarkStart w:id="70" w:name="_Toc28346156"/>
      <w:bookmarkStart w:id="71" w:name="_Toc48657885"/>
      <w:bookmarkStart w:id="72" w:name="_Toc48658204"/>
      <w:r>
        <w:rPr>
          <w:rFonts w:hint="eastAsia"/>
        </w:rPr>
        <w:t>育苗基地选择</w:t>
      </w:r>
      <w:bookmarkEnd w:id="68"/>
      <w:bookmarkEnd w:id="69"/>
      <w:bookmarkEnd w:id="70"/>
      <w:bookmarkEnd w:id="71"/>
      <w:bookmarkEnd w:id="72"/>
    </w:p>
    <w:p>
      <w:pPr>
        <w:pStyle w:val="20"/>
        <w:spacing w:line="360" w:lineRule="auto"/>
        <w:ind w:firstLineChars="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选择土壤排水良好，通透性好，整苗床0.80m-1.0m,沟20cm，施牛栏粪为底肥。采用遮荫设施，夏天遮荫率70%，春冬天30%左右，或选择郁闭度60%-70%林地种植。</w:t>
      </w:r>
    </w:p>
    <w:p>
      <w:pPr>
        <w:pStyle w:val="37"/>
        <w:rPr>
          <w:rFonts w:hint="eastAsia"/>
        </w:rPr>
      </w:pPr>
      <w:bookmarkStart w:id="73" w:name="_Toc28347593"/>
      <w:bookmarkStart w:id="74" w:name="_Toc28346157"/>
      <w:bookmarkStart w:id="75" w:name="_Toc28347653"/>
      <w:bookmarkStart w:id="76" w:name="_Toc48657886"/>
      <w:bookmarkStart w:id="77" w:name="_Toc48658205"/>
      <w:r>
        <w:rPr>
          <w:rFonts w:hint="eastAsia"/>
        </w:rPr>
        <w:t>种苗选择</w:t>
      </w:r>
      <w:bookmarkEnd w:id="73"/>
      <w:bookmarkEnd w:id="74"/>
      <w:bookmarkEnd w:id="75"/>
      <w:bookmarkEnd w:id="76"/>
      <w:bookmarkEnd w:id="77"/>
    </w:p>
    <w:p>
      <w:pPr>
        <w:spacing w:line="360" w:lineRule="auto"/>
        <w:ind w:firstLine="420" w:firstLineChars="200"/>
        <w:contextualSpacing/>
        <w:rPr>
          <w:rFonts w:hint="eastAsia"/>
          <w:szCs w:val="21"/>
        </w:rPr>
      </w:pPr>
      <w:r>
        <w:rPr>
          <w:rFonts w:hint="eastAsia"/>
          <w:szCs w:val="21"/>
        </w:rPr>
        <w:t>生长健壮、无病虫害，根系发达，</w:t>
      </w:r>
      <w:r>
        <w:rPr>
          <w:szCs w:val="21"/>
        </w:rPr>
        <w:t>叶片舒展，色泽正常，宽度≥1.8cm的叶片数不少于2片：根系正常根尖颜色呈乳白色，根条数≥2条，长度≥1.5cm；苗高≥4.5cm，茎粗≥3mm。</w:t>
      </w:r>
    </w:p>
    <w:p>
      <w:pPr>
        <w:pStyle w:val="37"/>
      </w:pPr>
      <w:r>
        <w:rPr>
          <w:rFonts w:hint="eastAsia"/>
        </w:rPr>
        <w:t xml:space="preserve"> </w:t>
      </w:r>
      <w:bookmarkStart w:id="78" w:name="_Toc28346158"/>
      <w:bookmarkStart w:id="79" w:name="_Toc28347594"/>
      <w:bookmarkStart w:id="80" w:name="_Toc28347654"/>
      <w:bookmarkStart w:id="81" w:name="_Toc48657887"/>
      <w:bookmarkStart w:id="82" w:name="_Toc48658206"/>
      <w:r>
        <w:t>炼苗</w:t>
      </w:r>
      <w:bookmarkEnd w:id="78"/>
      <w:bookmarkEnd w:id="79"/>
      <w:bookmarkEnd w:id="80"/>
      <w:bookmarkEnd w:id="81"/>
      <w:bookmarkEnd w:id="82"/>
    </w:p>
    <w:p>
      <w:pPr>
        <w:spacing w:line="360" w:lineRule="auto"/>
        <w:ind w:firstLine="420" w:firstLineChars="200"/>
        <w:contextualSpacing/>
        <w:rPr>
          <w:rFonts w:hint="eastAsia"/>
          <w:szCs w:val="21"/>
        </w:rPr>
      </w:pPr>
      <w:r>
        <w:rPr>
          <w:rFonts w:hint="eastAsia"/>
          <w:bCs/>
          <w:szCs w:val="21"/>
        </w:rPr>
        <w:t>组培</w:t>
      </w:r>
      <w:r>
        <w:rPr>
          <w:bCs/>
          <w:szCs w:val="21"/>
        </w:rPr>
        <w:t>炼苗时间春秋</w:t>
      </w:r>
      <w:r>
        <w:rPr>
          <w:rFonts w:hint="eastAsia"/>
          <w:bCs/>
          <w:szCs w:val="21"/>
        </w:rPr>
        <w:t>季</w:t>
      </w:r>
      <w:r>
        <w:rPr>
          <w:bCs/>
          <w:szCs w:val="21"/>
        </w:rPr>
        <w:t>30</w:t>
      </w:r>
      <w:r>
        <w:rPr>
          <w:rFonts w:hint="eastAsia"/>
          <w:bCs/>
          <w:szCs w:val="21"/>
        </w:rPr>
        <w:t>-50</w:t>
      </w:r>
      <w:r>
        <w:rPr>
          <w:bCs/>
          <w:szCs w:val="21"/>
        </w:rPr>
        <w:t>d</w:t>
      </w:r>
      <w:r>
        <w:rPr>
          <w:rFonts w:hint="eastAsia"/>
          <w:bCs/>
          <w:szCs w:val="21"/>
        </w:rPr>
        <w:t>后，适当延长通风和提高光照，以提高种苗适应外部环境的能力</w:t>
      </w:r>
      <w:r>
        <w:rPr>
          <w:rFonts w:hint="eastAsia"/>
          <w:szCs w:val="21"/>
        </w:rPr>
        <w:t>。</w:t>
      </w:r>
    </w:p>
    <w:p>
      <w:pPr>
        <w:pStyle w:val="37"/>
      </w:pPr>
      <w:bookmarkStart w:id="83" w:name="_Toc28346159"/>
      <w:bookmarkStart w:id="84" w:name="_Toc28347595"/>
      <w:bookmarkStart w:id="85" w:name="_Toc28347655"/>
      <w:bookmarkStart w:id="86" w:name="_Toc48657888"/>
      <w:bookmarkStart w:id="87" w:name="_Toc48658207"/>
      <w:r>
        <w:t>组培苗清洗和消毒</w:t>
      </w:r>
      <w:bookmarkEnd w:id="83"/>
      <w:bookmarkEnd w:id="84"/>
      <w:bookmarkEnd w:id="85"/>
      <w:bookmarkEnd w:id="86"/>
      <w:bookmarkEnd w:id="87"/>
    </w:p>
    <w:p>
      <w:pPr>
        <w:spacing w:line="360" w:lineRule="auto"/>
        <w:ind w:firstLine="420" w:firstLineChars="200"/>
        <w:contextualSpacing/>
        <w:rPr>
          <w:szCs w:val="21"/>
        </w:rPr>
      </w:pPr>
      <w:r>
        <w:rPr>
          <w:szCs w:val="21"/>
        </w:rPr>
        <w:t>将炼好的苗轻轻取出，尽量不要伤及叶片，然后放入装有清水的大盆中，把根部的培养基洗净，洗时避免出现伤根和断根，剔除不合格的组培苗。将合格的组培苗根朝下整齐摆放在塑料筐中，再把装苗的塑料筐浸泡于0.1%阿米西达水溶液1min后，提起滤水，即可进行移栽。</w:t>
      </w:r>
    </w:p>
    <w:p>
      <w:pPr>
        <w:pStyle w:val="40"/>
        <w:rPr>
          <w:rFonts w:hint="eastAsia"/>
        </w:rPr>
      </w:pPr>
      <w:bookmarkStart w:id="88" w:name="_Toc28347661"/>
      <w:bookmarkStart w:id="89" w:name="_Toc28346165"/>
      <w:bookmarkStart w:id="90" w:name="_Toc28345644"/>
      <w:bookmarkStart w:id="91" w:name="_Toc28345352"/>
      <w:bookmarkStart w:id="92" w:name="_Toc28345711"/>
      <w:bookmarkStart w:id="93" w:name="_Toc28347601"/>
      <w:bookmarkStart w:id="94" w:name="_Toc48657889"/>
      <w:bookmarkStart w:id="95" w:name="_Toc48658208"/>
      <w:r>
        <w:rPr>
          <w:rFonts w:hint="eastAsia"/>
        </w:rPr>
        <w:t>林下栽培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>
      <w:pPr>
        <w:pStyle w:val="37"/>
        <w:rPr>
          <w:rFonts w:hint="eastAsia"/>
        </w:rPr>
      </w:pPr>
      <w:bookmarkStart w:id="96" w:name="_Toc28347602"/>
      <w:bookmarkStart w:id="97" w:name="_Toc28347662"/>
      <w:bookmarkStart w:id="98" w:name="_Toc28345353"/>
      <w:bookmarkStart w:id="99" w:name="_Toc28346166"/>
      <w:bookmarkStart w:id="100" w:name="_Toc48657890"/>
      <w:bookmarkStart w:id="101" w:name="_Toc48658209"/>
      <w:r>
        <w:rPr>
          <w:rFonts w:hint="eastAsia"/>
        </w:rPr>
        <w:t>林地选择</w:t>
      </w:r>
      <w:bookmarkEnd w:id="96"/>
      <w:bookmarkEnd w:id="97"/>
      <w:bookmarkEnd w:id="98"/>
      <w:bookmarkEnd w:id="99"/>
      <w:bookmarkEnd w:id="100"/>
      <w:bookmarkEnd w:id="101"/>
    </w:p>
    <w:p>
      <w:pPr>
        <w:spacing w:line="360" w:lineRule="auto"/>
        <w:ind w:firstLine="420" w:firstLineChars="200"/>
        <w:contextualSpacing/>
        <w:rPr>
          <w:rFonts w:hint="eastAsia"/>
          <w:szCs w:val="21"/>
        </w:rPr>
      </w:pPr>
      <w:r>
        <w:rPr>
          <w:szCs w:val="21"/>
        </w:rPr>
        <w:t>选择海拔高度200-1000m</w:t>
      </w:r>
      <w:r>
        <w:rPr>
          <w:rFonts w:hint="eastAsia"/>
          <w:szCs w:val="21"/>
        </w:rPr>
        <w:t>的（半）常绿阔叶林</w:t>
      </w:r>
      <w:r>
        <w:rPr>
          <w:szCs w:val="21"/>
        </w:rPr>
        <w:t>阔叶林</w:t>
      </w:r>
      <w:r>
        <w:rPr>
          <w:rFonts w:hint="eastAsia"/>
          <w:szCs w:val="21"/>
        </w:rPr>
        <w:t>、杉木、香榧</w:t>
      </w:r>
      <w:r>
        <w:rPr>
          <w:szCs w:val="21"/>
        </w:rPr>
        <w:t>或竹林，土壤类型为红壤或黄红壤，土壤pH值为6.0-6.5，郁闭度0.7-0.8，腐殖质层3cm以上，有机质含量大于等于4%，坡度在30度以下，有充足的无污染天然水源。</w:t>
      </w:r>
    </w:p>
    <w:p>
      <w:pPr>
        <w:pStyle w:val="37"/>
        <w:rPr>
          <w:rFonts w:hint="eastAsia"/>
        </w:rPr>
      </w:pPr>
      <w:bookmarkStart w:id="102" w:name="_Toc28345354"/>
      <w:bookmarkStart w:id="103" w:name="_Toc28347663"/>
      <w:bookmarkStart w:id="104" w:name="_Toc28346167"/>
      <w:bookmarkStart w:id="105" w:name="_Toc28347603"/>
      <w:bookmarkStart w:id="106" w:name="_Toc48657891"/>
      <w:bookmarkStart w:id="107" w:name="_Toc48658210"/>
      <w:r>
        <w:rPr>
          <w:rFonts w:hint="eastAsia"/>
        </w:rPr>
        <w:t>整地作床</w:t>
      </w:r>
      <w:bookmarkEnd w:id="102"/>
      <w:bookmarkEnd w:id="103"/>
      <w:bookmarkEnd w:id="104"/>
      <w:bookmarkEnd w:id="105"/>
      <w:bookmarkEnd w:id="106"/>
      <w:bookmarkEnd w:id="107"/>
    </w:p>
    <w:p>
      <w:pPr>
        <w:pStyle w:val="20"/>
        <w:spacing w:line="360" w:lineRule="auto"/>
        <w:ind w:firstLine="422" w:firstLineChars="0"/>
        <w:rPr>
          <w:rFonts w:hint="eastAsia"/>
          <w:szCs w:val="21"/>
        </w:rPr>
      </w:pPr>
      <w:r>
        <w:rPr>
          <w:rFonts w:ascii="Times New Roman"/>
          <w:szCs w:val="21"/>
        </w:rPr>
        <w:t>在林下沿等高线顺地形整畦，深翻20cm，挑除畦内树枝，树根，细致整地，</w:t>
      </w:r>
      <w:r>
        <w:rPr>
          <w:rFonts w:hint="eastAsia"/>
          <w:szCs w:val="21"/>
        </w:rPr>
        <w:t>林地坡度&lt;15º可全垦整地和修筑水平梯带，并开排水沟；15º-30º林地进行带状或块状整地，带（块）内全垦，带（块）间、山顶、山脊和陡坡保留原有植被，垄宽度50-80cm，</w:t>
      </w:r>
      <w:r>
        <w:rPr>
          <w:rFonts w:ascii="Times New Roman"/>
          <w:szCs w:val="21"/>
        </w:rPr>
        <w:t>畦面稍微倾斜，避免积水，畦边开设排水沟，沟深20cm。</w:t>
      </w:r>
    </w:p>
    <w:p>
      <w:pPr>
        <w:pStyle w:val="37"/>
        <w:rPr>
          <w:rFonts w:hint="eastAsia"/>
        </w:rPr>
      </w:pPr>
      <w:bookmarkStart w:id="108" w:name="_Toc28347664"/>
      <w:bookmarkStart w:id="109" w:name="_Toc28347604"/>
      <w:bookmarkStart w:id="110" w:name="_Toc28346168"/>
      <w:bookmarkStart w:id="111" w:name="_Toc48657892"/>
      <w:bookmarkStart w:id="112" w:name="_Toc48658211"/>
      <w:r>
        <w:rPr>
          <w:rFonts w:hint="eastAsia"/>
        </w:rPr>
        <w:t>种植时间</w:t>
      </w:r>
      <w:bookmarkEnd w:id="108"/>
      <w:bookmarkEnd w:id="109"/>
      <w:bookmarkEnd w:id="110"/>
      <w:bookmarkEnd w:id="111"/>
      <w:bookmarkEnd w:id="112"/>
    </w:p>
    <w:p>
      <w:pPr>
        <w:pStyle w:val="2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春季4月上旬-5月中旬，随洗随栽，避免苗根遭受风吹和日晒。</w:t>
      </w:r>
    </w:p>
    <w:p>
      <w:pPr>
        <w:pStyle w:val="37"/>
      </w:pPr>
      <w:bookmarkStart w:id="113" w:name="_Toc28347605"/>
      <w:bookmarkStart w:id="114" w:name="_Toc28346169"/>
      <w:bookmarkStart w:id="115" w:name="_Toc28347665"/>
      <w:bookmarkStart w:id="116" w:name="_Toc48657893"/>
      <w:bookmarkStart w:id="117" w:name="_Toc48658212"/>
      <w:r>
        <w:t>移栽</w:t>
      </w:r>
      <w:bookmarkEnd w:id="113"/>
      <w:bookmarkEnd w:id="114"/>
      <w:bookmarkEnd w:id="115"/>
      <w:bookmarkEnd w:id="116"/>
      <w:bookmarkEnd w:id="117"/>
    </w:p>
    <w:p>
      <w:pPr>
        <w:spacing w:line="360" w:lineRule="auto"/>
        <w:ind w:firstLine="420" w:firstLineChars="200"/>
        <w:contextualSpacing/>
        <w:rPr>
          <w:szCs w:val="21"/>
        </w:rPr>
      </w:pPr>
      <w:r>
        <w:rPr>
          <w:szCs w:val="21"/>
        </w:rPr>
        <w:t>移栽前基部的培养基用淸水漂洗于浄，整齐排放在</w:t>
      </w:r>
      <w:r>
        <w:rPr>
          <w:rFonts w:hint="eastAsia"/>
          <w:szCs w:val="21"/>
        </w:rPr>
        <w:t>塑</w:t>
      </w:r>
      <w:r>
        <w:rPr>
          <w:szCs w:val="21"/>
        </w:rPr>
        <w:t>料筛里，用0.05%高锰酸钾溶液浸泡1-2min，然后用清水漂洗。移栽时基质保持湿润疏松。移植深度为第一条气生根根尖刚好触及基质，栽植密度500-600株/m</w:t>
      </w:r>
      <w:r>
        <w:rPr>
          <w:szCs w:val="21"/>
          <w:vertAlign w:val="superscript"/>
        </w:rPr>
        <w:t>2</w:t>
      </w:r>
      <w:r>
        <w:rPr>
          <w:szCs w:val="21"/>
        </w:rPr>
        <w:t>，移植后及时遮荫、保湿。</w:t>
      </w:r>
    </w:p>
    <w:p>
      <w:pPr>
        <w:pStyle w:val="37"/>
      </w:pPr>
      <w:bookmarkStart w:id="118" w:name="_Toc28346170"/>
      <w:bookmarkStart w:id="119" w:name="_Toc28347606"/>
      <w:bookmarkStart w:id="120" w:name="_Toc28347666"/>
      <w:bookmarkStart w:id="121" w:name="_Toc48657894"/>
      <w:bookmarkStart w:id="122" w:name="_Toc48658213"/>
      <w:r>
        <w:t>光照强度</w:t>
      </w:r>
      <w:bookmarkEnd w:id="118"/>
      <w:bookmarkEnd w:id="119"/>
      <w:bookmarkEnd w:id="120"/>
      <w:bookmarkEnd w:id="121"/>
      <w:bookmarkEnd w:id="122"/>
    </w:p>
    <w:p>
      <w:pPr>
        <w:spacing w:line="360" w:lineRule="auto"/>
        <w:ind w:firstLine="630" w:firstLineChars="300"/>
        <w:contextualSpacing/>
        <w:rPr>
          <w:rFonts w:hint="eastAsia"/>
          <w:szCs w:val="21"/>
        </w:rPr>
      </w:pPr>
      <w:r>
        <w:rPr>
          <w:szCs w:val="21"/>
        </w:rPr>
        <w:t>1500-2000Lx，可用遮阳网调节。</w:t>
      </w:r>
    </w:p>
    <w:p>
      <w:pPr>
        <w:pStyle w:val="37"/>
        <w:rPr>
          <w:rFonts w:hint="eastAsia"/>
        </w:rPr>
      </w:pPr>
      <w:bookmarkStart w:id="123" w:name="_Toc28347667"/>
      <w:bookmarkStart w:id="124" w:name="_Toc28346171"/>
      <w:bookmarkStart w:id="125" w:name="_Toc28347607"/>
      <w:bookmarkStart w:id="126" w:name="_Toc48657895"/>
      <w:bookmarkStart w:id="127" w:name="_Toc48658214"/>
      <w:r>
        <w:rPr>
          <w:rFonts w:hint="eastAsia"/>
        </w:rPr>
        <w:t>栽培模式</w:t>
      </w:r>
      <w:bookmarkEnd w:id="123"/>
      <w:bookmarkEnd w:id="124"/>
      <w:bookmarkEnd w:id="125"/>
      <w:bookmarkEnd w:id="126"/>
      <w:bookmarkEnd w:id="127"/>
    </w:p>
    <w:p>
      <w:pPr>
        <w:pStyle w:val="20"/>
        <w:spacing w:line="360" w:lineRule="auto"/>
        <w:ind w:firstLine="0" w:firstLineChars="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5.6.1 直栽</w:t>
      </w:r>
    </w:p>
    <w:p>
      <w:pPr>
        <w:pStyle w:val="20"/>
        <w:spacing w:line="360" w:lineRule="auto"/>
        <w:rPr>
          <w:rFonts w:hint="eastAsia" w:ascii="Times New Roman"/>
          <w:kern w:val="2"/>
          <w:szCs w:val="21"/>
        </w:rPr>
      </w:pPr>
      <w:r>
        <w:rPr>
          <w:rFonts w:hint="eastAsia" w:ascii="Times New Roman"/>
          <w:kern w:val="2"/>
          <w:szCs w:val="21"/>
        </w:rPr>
        <w:t>直接栽种要翻耕土地南北方向打畦，畦高30厘米，宽度60厘米，畦距20厘米，畦面两侧开沟，深度10厘米，在畦内开沟撒入适当的钙镁磷肥和草木灰。</w:t>
      </w:r>
      <w:r>
        <w:rPr>
          <w:rFonts w:ascii="Times New Roman"/>
          <w:kern w:val="2"/>
          <w:szCs w:val="21"/>
        </w:rPr>
        <w:t>采用单株宽行稀植模式种植，</w:t>
      </w:r>
      <w:r>
        <w:rPr>
          <w:rFonts w:hint="eastAsia" w:ascii="Times New Roman"/>
          <w:kern w:val="2"/>
          <w:szCs w:val="21"/>
        </w:rPr>
        <w:t>苗株行距5厘米×10厘米，排好种苗，覆盖少量泥土，压紧踩实，浇足定根水即可，</w:t>
      </w:r>
      <w:r>
        <w:rPr>
          <w:rFonts w:ascii="Times New Roman"/>
          <w:kern w:val="2"/>
          <w:szCs w:val="21"/>
        </w:rPr>
        <w:t>减少了病虫害的流行发生并改善植株间透光率。</w:t>
      </w:r>
    </w:p>
    <w:p>
      <w:pPr>
        <w:pStyle w:val="37"/>
        <w:numPr>
          <w:ilvl w:val="1"/>
          <w:numId w:val="0"/>
        </w:numPr>
        <w:rPr>
          <w:rFonts w:hint="eastAsia"/>
        </w:rPr>
      </w:pPr>
      <w:r>
        <w:drawing>
          <wp:inline distT="0" distB="0" distL="0" distR="0">
            <wp:extent cx="2924175" cy="14668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0"/>
        <w:spacing w:line="360" w:lineRule="auto"/>
        <w:ind w:firstLine="0" w:firstLineChars="0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5.6.2 容器栽培</w:t>
      </w:r>
    </w:p>
    <w:p>
      <w:pPr>
        <w:pStyle w:val="2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育苗盘长度×宽度×高度为42cm×42cm×20cm，林地腐殖质土或泥炭33：沙土16：蛭石26：珍珠岩8：砻糠17，堆沤后与土搅拌均匀后装袋填实，每个育苗盘之间留空隙2-5cm，均匀摆放在垄地上或半埋于土中，每盆种植120-150株，浇足定根水。</w:t>
      </w:r>
    </w:p>
    <w:p>
      <w:pPr>
        <w:pStyle w:val="40"/>
        <w:rPr>
          <w:rFonts w:hint="eastAsia"/>
        </w:rPr>
      </w:pPr>
      <w:bookmarkStart w:id="128" w:name="_Toc28346172"/>
      <w:bookmarkStart w:id="129" w:name="_Toc28347668"/>
      <w:bookmarkStart w:id="130" w:name="_Toc28345355"/>
      <w:bookmarkStart w:id="131" w:name="_Toc28347608"/>
      <w:bookmarkStart w:id="132" w:name="_Toc28345712"/>
      <w:bookmarkStart w:id="133" w:name="_Toc28345645"/>
      <w:bookmarkStart w:id="134" w:name="_Toc48657896"/>
      <w:bookmarkStart w:id="135" w:name="_Toc48658215"/>
      <w:r>
        <w:rPr>
          <w:rFonts w:hint="eastAsia"/>
        </w:rPr>
        <w:t>栽后管理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>
      <w:pPr>
        <w:pStyle w:val="37"/>
        <w:rPr>
          <w:rFonts w:hint="eastAsia"/>
        </w:rPr>
      </w:pPr>
      <w:bookmarkStart w:id="136" w:name="_Toc28347669"/>
      <w:bookmarkStart w:id="137" w:name="_Toc28346173"/>
      <w:bookmarkStart w:id="138" w:name="_Toc28347609"/>
      <w:bookmarkStart w:id="139" w:name="_Toc48657897"/>
      <w:bookmarkStart w:id="140" w:name="_Toc48658216"/>
      <w:r>
        <w:rPr>
          <w:rFonts w:hint="eastAsia"/>
        </w:rPr>
        <w:t>设施准备</w:t>
      </w:r>
      <w:bookmarkEnd w:id="136"/>
      <w:bookmarkEnd w:id="137"/>
      <w:bookmarkEnd w:id="138"/>
      <w:bookmarkEnd w:id="139"/>
      <w:bookmarkEnd w:id="140"/>
    </w:p>
    <w:p>
      <w:pPr>
        <w:pStyle w:val="2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在林地依托地势修建蓄水池，做好喷滴灌等灌溉设施和保水保土工作，忌积水，提高成活率，促进生长，大田及郁闭度达不到的区域覆盖透光率为50%-60%的遮阴网。</w:t>
      </w:r>
    </w:p>
    <w:p>
      <w:pPr>
        <w:pStyle w:val="37"/>
        <w:rPr>
          <w:rFonts w:hint="eastAsia"/>
        </w:rPr>
      </w:pPr>
      <w:bookmarkStart w:id="141" w:name="_Toc28347610"/>
      <w:bookmarkStart w:id="142" w:name="_Toc28347670"/>
      <w:bookmarkStart w:id="143" w:name="_Toc28346174"/>
      <w:bookmarkStart w:id="144" w:name="_Toc48657898"/>
      <w:bookmarkStart w:id="145" w:name="_Toc48658217"/>
      <w:r>
        <w:rPr>
          <w:rFonts w:hint="eastAsia"/>
        </w:rPr>
        <w:t>施肥</w:t>
      </w:r>
      <w:bookmarkEnd w:id="141"/>
      <w:bookmarkEnd w:id="142"/>
      <w:bookmarkEnd w:id="143"/>
      <w:bookmarkEnd w:id="144"/>
      <w:bookmarkEnd w:id="145"/>
    </w:p>
    <w:p>
      <w:pPr>
        <w:pStyle w:val="2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施肥以农家肥、草木灰等钾肥为主，禁用化肥。春、夏季以人粪尿、猪、牛栏粪等为主；秋、冬季开环状沟施堆肥或厩肥，并进行培土。</w:t>
      </w:r>
    </w:p>
    <w:p>
      <w:pPr>
        <w:pStyle w:val="37"/>
        <w:rPr>
          <w:rFonts w:hint="eastAsia"/>
        </w:rPr>
      </w:pPr>
      <w:bookmarkStart w:id="146" w:name="_Toc28347611"/>
      <w:bookmarkStart w:id="147" w:name="_Toc28346175"/>
      <w:bookmarkStart w:id="148" w:name="_Toc28347671"/>
      <w:bookmarkStart w:id="149" w:name="_Toc48657899"/>
      <w:bookmarkStart w:id="150" w:name="_Toc48658218"/>
      <w:r>
        <w:rPr>
          <w:rFonts w:hint="eastAsia"/>
        </w:rPr>
        <w:t>除草</w:t>
      </w:r>
      <w:bookmarkEnd w:id="146"/>
      <w:bookmarkEnd w:id="147"/>
      <w:bookmarkEnd w:id="148"/>
      <w:bookmarkEnd w:id="149"/>
      <w:bookmarkEnd w:id="150"/>
    </w:p>
    <w:p>
      <w:pPr>
        <w:pStyle w:val="2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为保证药材品质，禁用除草剂。每年中耕除草3～4次，春秋季采用带状中耕除草，深度3-5cm，带的宽度随金线莲行距而定，隔年轮换。夏季在植株周围或水平带面适度进行中耕除草，浅锄3cm，适度适时抚育拔草。</w:t>
      </w:r>
    </w:p>
    <w:p>
      <w:pPr>
        <w:pStyle w:val="40"/>
        <w:rPr>
          <w:rFonts w:hint="eastAsia"/>
        </w:rPr>
      </w:pPr>
      <w:bookmarkStart w:id="151" w:name="_Toc28346176"/>
      <w:bookmarkStart w:id="152" w:name="_Toc28345713"/>
      <w:bookmarkStart w:id="153" w:name="_Toc28347612"/>
      <w:bookmarkStart w:id="154" w:name="_Toc28347672"/>
      <w:bookmarkStart w:id="155" w:name="_Toc28345646"/>
      <w:bookmarkStart w:id="156" w:name="_Toc28345356"/>
      <w:bookmarkStart w:id="157" w:name="_Toc48657900"/>
      <w:bookmarkStart w:id="158" w:name="_Toc48658219"/>
      <w:r>
        <w:rPr>
          <w:rFonts w:hint="eastAsia"/>
        </w:rPr>
        <w:t>病虫害防治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>
      <w:pPr>
        <w:pStyle w:val="37"/>
        <w:rPr>
          <w:rFonts w:hint="eastAsia"/>
        </w:rPr>
      </w:pPr>
      <w:bookmarkStart w:id="159" w:name="_Toc28346177"/>
      <w:bookmarkStart w:id="160" w:name="_Toc28347613"/>
      <w:bookmarkStart w:id="161" w:name="_Toc28347673"/>
      <w:bookmarkStart w:id="162" w:name="_Toc48657901"/>
      <w:bookmarkStart w:id="163" w:name="_Toc48658220"/>
      <w:r>
        <w:rPr>
          <w:rFonts w:hint="eastAsia"/>
        </w:rPr>
        <w:t>防治原则</w:t>
      </w:r>
      <w:bookmarkEnd w:id="159"/>
      <w:bookmarkEnd w:id="160"/>
      <w:bookmarkEnd w:id="161"/>
      <w:bookmarkEnd w:id="162"/>
      <w:bookmarkEnd w:id="163"/>
    </w:p>
    <w:p>
      <w:pPr>
        <w:pStyle w:val="2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按照“预防为主，综合防治”的植保方针，坚持“以农业防治、物理防治、生物防治为主，化学防治为辅”的治理原则。</w:t>
      </w:r>
    </w:p>
    <w:p>
      <w:pPr>
        <w:pStyle w:val="37"/>
        <w:rPr>
          <w:rFonts w:hint="eastAsia"/>
        </w:rPr>
      </w:pPr>
      <w:bookmarkStart w:id="164" w:name="_Toc28347614"/>
      <w:bookmarkStart w:id="165" w:name="_Toc28347674"/>
      <w:bookmarkStart w:id="166" w:name="_Toc48657902"/>
      <w:bookmarkStart w:id="167" w:name="_Toc48658221"/>
      <w:r>
        <w:rPr>
          <w:rFonts w:hint="eastAsia"/>
        </w:rPr>
        <w:t>主要病虫害</w:t>
      </w:r>
      <w:bookmarkEnd w:id="164"/>
      <w:bookmarkEnd w:id="165"/>
      <w:bookmarkEnd w:id="166"/>
      <w:bookmarkEnd w:id="167"/>
    </w:p>
    <w:p>
      <w:pPr>
        <w:pStyle w:val="41"/>
        <w:spacing w:beforeLines="0" w:afterLines="0"/>
        <w:rPr>
          <w:rFonts w:hint="eastAsia"/>
        </w:rPr>
      </w:pPr>
      <w:bookmarkStart w:id="168" w:name="_Toc28347615"/>
      <w:bookmarkStart w:id="169" w:name="_Toc28347675"/>
      <w:bookmarkStart w:id="170" w:name="_Toc48657903"/>
      <w:bookmarkStart w:id="171" w:name="_Toc48658222"/>
      <w:r>
        <w:rPr>
          <w:rFonts w:hint="eastAsia"/>
        </w:rPr>
        <w:t>主要病害</w:t>
      </w:r>
      <w:bookmarkEnd w:id="168"/>
      <w:bookmarkEnd w:id="169"/>
      <w:bookmarkEnd w:id="170"/>
      <w:bookmarkEnd w:id="171"/>
    </w:p>
    <w:p>
      <w:pPr>
        <w:pStyle w:val="2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茎腐病、软腐病、猝倒病、白绢病、炭疽病、灰霉病</w:t>
      </w:r>
    </w:p>
    <w:p>
      <w:pPr>
        <w:pStyle w:val="41"/>
        <w:spacing w:beforeLines="0" w:afterLines="0"/>
        <w:rPr>
          <w:rFonts w:hint="eastAsia"/>
        </w:rPr>
      </w:pPr>
      <w:bookmarkStart w:id="172" w:name="_Toc28347616"/>
      <w:bookmarkStart w:id="173" w:name="_Toc28347676"/>
      <w:bookmarkStart w:id="174" w:name="_Toc48657904"/>
      <w:bookmarkStart w:id="175" w:name="_Toc48658223"/>
      <w:r>
        <w:rPr>
          <w:rFonts w:hint="eastAsia"/>
        </w:rPr>
        <w:t>主要虫害:</w:t>
      </w:r>
      <w:bookmarkEnd w:id="172"/>
      <w:bookmarkEnd w:id="173"/>
      <w:bookmarkEnd w:id="174"/>
      <w:bookmarkEnd w:id="175"/>
    </w:p>
    <w:p>
      <w:pPr>
        <w:pStyle w:val="2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蛞蝓、蜗牛、螨类、小地老虎、蝼蛄</w:t>
      </w:r>
    </w:p>
    <w:p>
      <w:pPr>
        <w:pStyle w:val="37"/>
        <w:rPr>
          <w:rFonts w:hint="eastAsia"/>
        </w:rPr>
      </w:pPr>
      <w:bookmarkStart w:id="176" w:name="_Toc28347617"/>
      <w:bookmarkStart w:id="177" w:name="_Toc28347677"/>
      <w:bookmarkStart w:id="178" w:name="_Toc48657905"/>
      <w:bookmarkStart w:id="179" w:name="_Toc48658224"/>
      <w:r>
        <w:rPr>
          <w:rFonts w:hint="eastAsia"/>
        </w:rPr>
        <w:t>防治方法</w:t>
      </w:r>
      <w:bookmarkEnd w:id="176"/>
      <w:bookmarkEnd w:id="177"/>
      <w:bookmarkEnd w:id="178"/>
      <w:bookmarkEnd w:id="179"/>
    </w:p>
    <w:p>
      <w:pPr>
        <w:pStyle w:val="41"/>
        <w:spacing w:beforeLines="0" w:afterLines="0"/>
        <w:rPr>
          <w:rFonts w:hint="eastAsia"/>
        </w:rPr>
      </w:pPr>
      <w:bookmarkStart w:id="180" w:name="_Toc28347678"/>
      <w:bookmarkStart w:id="181" w:name="_Toc28347618"/>
      <w:bookmarkStart w:id="182" w:name="_Toc48657906"/>
      <w:bookmarkStart w:id="183" w:name="_Toc48658225"/>
      <w:r>
        <w:rPr>
          <w:rFonts w:hint="eastAsia"/>
        </w:rPr>
        <w:t>农业措施</w:t>
      </w:r>
      <w:bookmarkEnd w:id="180"/>
      <w:bookmarkEnd w:id="181"/>
      <w:bookmarkEnd w:id="182"/>
      <w:bookmarkEnd w:id="183"/>
    </w:p>
    <w:p>
      <w:pPr>
        <w:pStyle w:val="20"/>
        <w:rPr>
          <w:rFonts w:hint="eastAsia"/>
        </w:rPr>
      </w:pPr>
      <w:r>
        <w:rPr>
          <w:rFonts w:hint="eastAsia"/>
        </w:rPr>
        <w:t>选择优良抗性品种，合理密植。</w:t>
      </w:r>
    </w:p>
    <w:p>
      <w:pPr>
        <w:pStyle w:val="41"/>
        <w:spacing w:beforeLines="0" w:afterLines="0"/>
        <w:rPr>
          <w:rFonts w:hint="eastAsia"/>
        </w:rPr>
      </w:pPr>
      <w:bookmarkStart w:id="184" w:name="_Toc28347679"/>
      <w:bookmarkStart w:id="185" w:name="_Toc28347619"/>
      <w:bookmarkStart w:id="186" w:name="_Toc48657907"/>
      <w:bookmarkStart w:id="187" w:name="_Toc48658226"/>
      <w:r>
        <w:rPr>
          <w:rFonts w:hint="eastAsia"/>
        </w:rPr>
        <w:t>物理防治</w:t>
      </w:r>
      <w:bookmarkEnd w:id="184"/>
      <w:bookmarkEnd w:id="185"/>
      <w:bookmarkEnd w:id="186"/>
      <w:bookmarkEnd w:id="187"/>
    </w:p>
    <w:p>
      <w:pPr>
        <w:pStyle w:val="20"/>
        <w:rPr>
          <w:rFonts w:hint="eastAsia"/>
        </w:rPr>
      </w:pPr>
      <w:r>
        <w:rPr>
          <w:rFonts w:hint="eastAsia"/>
        </w:rPr>
        <w:t>人工摘除卵块；黑光灯诱杀；利</w:t>
      </w:r>
      <w:r>
        <w:t>用菜叶或青草毒饵诱杀</w:t>
      </w:r>
      <w:r>
        <w:rPr>
          <w:rFonts w:hint="eastAsia"/>
        </w:rPr>
        <w:t>；</w:t>
      </w:r>
      <w:r>
        <w:rPr>
          <w:color w:val="000000"/>
        </w:rPr>
        <w:t>按照糖、醋、酒、水比例为 3:4:1:2，糖醋液中加入少量</w:t>
      </w:r>
      <w:r>
        <w:rPr>
          <w:rFonts w:hint="eastAsia"/>
          <w:color w:val="000000"/>
        </w:rPr>
        <w:t>毒死蜱</w:t>
      </w:r>
      <w:r>
        <w:rPr>
          <w:color w:val="000000"/>
        </w:rPr>
        <w:t>，装进诱杀盆，白天盖好，晚上掀起诱杀</w:t>
      </w:r>
      <w:r>
        <w:rPr>
          <w:rFonts w:hint="eastAsia"/>
          <w:color w:val="000000"/>
        </w:rPr>
        <w:t>；</w:t>
      </w:r>
      <w:r>
        <w:rPr>
          <w:rFonts w:hint="eastAsia"/>
        </w:rPr>
        <w:t>诱抗剂等。</w:t>
      </w:r>
    </w:p>
    <w:p>
      <w:pPr>
        <w:pStyle w:val="41"/>
        <w:spacing w:beforeLines="0" w:afterLines="0"/>
        <w:rPr>
          <w:rFonts w:hint="eastAsia"/>
        </w:rPr>
      </w:pPr>
      <w:bookmarkStart w:id="188" w:name="_Toc28347680"/>
      <w:bookmarkStart w:id="189" w:name="_Toc28347620"/>
      <w:bookmarkStart w:id="190" w:name="_Toc48657908"/>
      <w:bookmarkStart w:id="191" w:name="_Toc48658227"/>
      <w:r>
        <w:rPr>
          <w:rFonts w:hint="eastAsia"/>
        </w:rPr>
        <w:t>生物防治</w:t>
      </w:r>
      <w:bookmarkEnd w:id="188"/>
      <w:bookmarkEnd w:id="189"/>
      <w:bookmarkEnd w:id="190"/>
      <w:bookmarkEnd w:id="191"/>
    </w:p>
    <w:p>
      <w:pPr>
        <w:pStyle w:val="20"/>
        <w:rPr>
          <w:rFonts w:hint="eastAsia"/>
        </w:rPr>
      </w:pPr>
      <w:r>
        <w:rPr>
          <w:rFonts w:hint="eastAsia"/>
        </w:rPr>
        <w:t>利用捕食螨、瓢虫等天敌进行防治。</w:t>
      </w:r>
    </w:p>
    <w:p>
      <w:pPr>
        <w:pStyle w:val="41"/>
        <w:spacing w:beforeLines="0" w:afterLines="0"/>
        <w:rPr>
          <w:rFonts w:hint="eastAsia"/>
        </w:rPr>
      </w:pPr>
      <w:bookmarkStart w:id="192" w:name="_Toc28347681"/>
      <w:bookmarkStart w:id="193" w:name="_Toc28347621"/>
      <w:bookmarkStart w:id="194" w:name="_Toc48657909"/>
      <w:bookmarkStart w:id="195" w:name="_Toc48658228"/>
      <w:r>
        <w:rPr>
          <w:rFonts w:hint="eastAsia"/>
        </w:rPr>
        <w:t>化学防治</w:t>
      </w:r>
      <w:bookmarkEnd w:id="192"/>
      <w:bookmarkEnd w:id="193"/>
      <w:bookmarkEnd w:id="194"/>
      <w:bookmarkEnd w:id="195"/>
    </w:p>
    <w:p>
      <w:pPr>
        <w:pStyle w:val="20"/>
        <w:rPr>
          <w:rFonts w:hint="eastAsia"/>
        </w:rPr>
      </w:pPr>
      <w:r>
        <w:rPr>
          <w:rFonts w:hint="eastAsia"/>
          <w:szCs w:val="21"/>
        </w:rPr>
        <w:t>采用高效、低毒、低风险农药进行化学防治，具体防治办法见附录A。</w:t>
      </w:r>
    </w:p>
    <w:p>
      <w:pPr>
        <w:pStyle w:val="40"/>
        <w:rPr>
          <w:rFonts w:hint="eastAsia"/>
        </w:rPr>
      </w:pPr>
      <w:bookmarkStart w:id="196" w:name="_Toc28345357"/>
      <w:bookmarkStart w:id="197" w:name="_Toc28345714"/>
      <w:bookmarkStart w:id="198" w:name="_Toc28346178"/>
      <w:bookmarkStart w:id="199" w:name="_Toc28347682"/>
      <w:bookmarkStart w:id="200" w:name="_Toc28347622"/>
      <w:bookmarkStart w:id="201" w:name="_Toc28345647"/>
      <w:bookmarkStart w:id="202" w:name="_Toc48657910"/>
      <w:bookmarkStart w:id="203" w:name="_Toc48658229"/>
      <w:r>
        <w:rPr>
          <w:rFonts w:hint="eastAsia"/>
        </w:rPr>
        <w:t>采收和加工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>
      <w:pPr>
        <w:pStyle w:val="37"/>
        <w:rPr>
          <w:rFonts w:hint="eastAsia" w:hAnsi="黑体"/>
        </w:rPr>
      </w:pPr>
      <w:bookmarkStart w:id="204" w:name="_Toc28347683"/>
      <w:bookmarkStart w:id="205" w:name="_Toc28347623"/>
      <w:bookmarkStart w:id="206" w:name="_Toc28346179"/>
      <w:bookmarkStart w:id="207" w:name="_Toc48657911"/>
      <w:bookmarkStart w:id="208" w:name="_Toc48658230"/>
      <w:r>
        <w:rPr>
          <w:rFonts w:hint="eastAsia" w:hAnsi="黑体"/>
        </w:rPr>
        <w:t>采收时间</w:t>
      </w:r>
      <w:bookmarkEnd w:id="204"/>
      <w:bookmarkEnd w:id="205"/>
      <w:bookmarkEnd w:id="206"/>
      <w:bookmarkEnd w:id="207"/>
      <w:bookmarkEnd w:id="208"/>
    </w:p>
    <w:p>
      <w:pPr>
        <w:pStyle w:val="2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栽培6-8个月后进行收获，为了最大限度利用率，可在11月-12月的晴天采收。</w:t>
      </w:r>
    </w:p>
    <w:p>
      <w:pPr>
        <w:pStyle w:val="37"/>
        <w:rPr>
          <w:rFonts w:hint="eastAsia" w:hAnsi="黑体"/>
        </w:rPr>
      </w:pPr>
      <w:bookmarkStart w:id="209" w:name="_Toc28347624"/>
      <w:bookmarkStart w:id="210" w:name="_Toc28347684"/>
      <w:bookmarkStart w:id="211" w:name="_Toc28346180"/>
      <w:bookmarkStart w:id="212" w:name="_Toc48657912"/>
      <w:bookmarkStart w:id="213" w:name="_Toc48658231"/>
      <w:r>
        <w:rPr>
          <w:rFonts w:hint="eastAsia" w:hAnsi="黑体"/>
        </w:rPr>
        <w:t>采后处理及加工</w:t>
      </w:r>
      <w:bookmarkEnd w:id="209"/>
      <w:bookmarkEnd w:id="210"/>
      <w:bookmarkEnd w:id="211"/>
      <w:bookmarkEnd w:id="212"/>
      <w:bookmarkEnd w:id="213"/>
    </w:p>
    <w:p>
      <w:pPr>
        <w:pStyle w:val="2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鲜草获取后，除去红叶、烂叶等，清水洗净后置于阴凉处风干并保存。</w:t>
      </w:r>
    </w:p>
    <w:p>
      <w:pPr>
        <w:pStyle w:val="40"/>
        <w:numPr>
          <w:ilvl w:val="0"/>
          <w:numId w:val="0"/>
        </w:numPr>
        <w:rPr>
          <w:rFonts w:hint="eastAsia"/>
        </w:rPr>
      </w:pPr>
      <w:bookmarkStart w:id="214" w:name="_Toc29466"/>
      <w:bookmarkStart w:id="215" w:name="_Toc7972"/>
      <w:bookmarkStart w:id="216" w:name="_Toc9162"/>
      <w:bookmarkStart w:id="217" w:name="_Toc48657913"/>
      <w:bookmarkStart w:id="218" w:name="_Toc48658232"/>
      <w:r>
        <w:rPr>
          <w:rFonts w:hint="eastAsia"/>
        </w:rPr>
        <w:t>9　质量安全管控</w:t>
      </w:r>
      <w:bookmarkEnd w:id="214"/>
      <w:bookmarkEnd w:id="215"/>
      <w:bookmarkEnd w:id="216"/>
      <w:bookmarkEnd w:id="217"/>
      <w:bookmarkEnd w:id="218"/>
    </w:p>
    <w:p>
      <w:pPr>
        <w:pStyle w:val="37"/>
        <w:numPr>
          <w:ilvl w:val="0"/>
          <w:numId w:val="0"/>
        </w:numPr>
        <w:rPr>
          <w:rFonts w:hint="eastAsia"/>
        </w:rPr>
      </w:pPr>
      <w:bookmarkStart w:id="219" w:name="_Toc1278"/>
      <w:bookmarkStart w:id="220" w:name="_Toc638"/>
      <w:bookmarkStart w:id="221" w:name="_Toc1157"/>
      <w:bookmarkStart w:id="222" w:name="_Toc48657914"/>
      <w:bookmarkStart w:id="223" w:name="_Toc48658233"/>
      <w:r>
        <w:rPr>
          <w:rFonts w:hint="eastAsia"/>
        </w:rPr>
        <w:t>9.1　产品质量安全检测</w:t>
      </w:r>
      <w:bookmarkEnd w:id="219"/>
      <w:bookmarkEnd w:id="220"/>
      <w:bookmarkEnd w:id="221"/>
      <w:bookmarkEnd w:id="222"/>
      <w:bookmarkEnd w:id="223"/>
      <w:r>
        <w:rPr>
          <w:rFonts w:hint="eastAsia"/>
        </w:rPr>
        <w:t>　</w:t>
      </w:r>
    </w:p>
    <w:p>
      <w:pPr>
        <w:pStyle w:val="20"/>
      </w:pPr>
      <w:r>
        <w:rPr>
          <w:rFonts w:hint="eastAsia"/>
        </w:rPr>
        <w:t>金线莲林下生产基地金线莲上市前应开展检测，包括自行检测和委托检测，检测不合格的产品，不应上市销售。对于检测过程中发现可能影响质量安全的问题，应及时处置。参照GB/T　19538的规定执行。</w:t>
      </w:r>
    </w:p>
    <w:p>
      <w:pPr>
        <w:pStyle w:val="37"/>
        <w:numPr>
          <w:ilvl w:val="0"/>
          <w:numId w:val="0"/>
        </w:numPr>
        <w:rPr>
          <w:rFonts w:hint="eastAsia"/>
        </w:rPr>
      </w:pPr>
      <w:bookmarkStart w:id="224" w:name="_Toc25466"/>
      <w:bookmarkStart w:id="225" w:name="_Toc30809"/>
      <w:bookmarkStart w:id="226" w:name="_Toc30836"/>
      <w:bookmarkStart w:id="227" w:name="_Toc48657915"/>
      <w:bookmarkStart w:id="228" w:name="_Toc48658234"/>
      <w:r>
        <w:rPr>
          <w:rFonts w:hint="eastAsia"/>
        </w:rPr>
        <w:t>9.2　追溯体系</w:t>
      </w:r>
      <w:bookmarkEnd w:id="224"/>
      <w:bookmarkEnd w:id="225"/>
      <w:bookmarkEnd w:id="226"/>
      <w:bookmarkEnd w:id="227"/>
      <w:bookmarkEnd w:id="228"/>
      <w:r>
        <w:rPr>
          <w:rFonts w:hint="eastAsia"/>
        </w:rPr>
        <w:t>　</w:t>
      </w:r>
    </w:p>
    <w:p>
      <w:pPr>
        <w:pStyle w:val="20"/>
        <w:rPr>
          <w:rFonts w:hint="eastAsia"/>
        </w:rPr>
      </w:pPr>
      <w:r>
        <w:rPr>
          <w:rFonts w:hint="eastAsia"/>
        </w:rPr>
        <w:t>在金线莲上市前，加贴二维码追溯标识。无法粘贴标识的，应根据市场销售的相关要求提供主体身份证明等。</w:t>
      </w:r>
    </w:p>
    <w:p>
      <w:pPr>
        <w:pStyle w:val="37"/>
        <w:numPr>
          <w:ilvl w:val="0"/>
          <w:numId w:val="0"/>
        </w:numPr>
        <w:rPr>
          <w:rFonts w:hint="eastAsia"/>
        </w:rPr>
      </w:pPr>
      <w:bookmarkStart w:id="229" w:name="_Toc31869"/>
      <w:bookmarkStart w:id="230" w:name="_Toc24317"/>
      <w:bookmarkStart w:id="231" w:name="_Toc27125"/>
      <w:bookmarkStart w:id="232" w:name="_Toc48657916"/>
      <w:bookmarkStart w:id="233" w:name="_Toc48658235"/>
      <w:r>
        <w:rPr>
          <w:rFonts w:hint="eastAsia"/>
        </w:rPr>
        <w:t>9.3　生产记录</w:t>
      </w:r>
      <w:bookmarkEnd w:id="229"/>
      <w:bookmarkEnd w:id="230"/>
      <w:bookmarkEnd w:id="231"/>
      <w:bookmarkEnd w:id="232"/>
      <w:bookmarkEnd w:id="233"/>
    </w:p>
    <w:p>
      <w:pPr>
        <w:pStyle w:val="20"/>
      </w:pPr>
      <w:r>
        <w:rPr>
          <w:rFonts w:hint="eastAsia"/>
        </w:rPr>
        <w:t>建立独立完整的生产记录档案，如实记载种植的金线莲品种、数量；使用的农药化肥名称、规格、来源（保留购买凭证，如发票或收据）、用法、用量、</w:t>
      </w:r>
      <w:bookmarkStart w:id="246" w:name="_GoBack"/>
      <w:bookmarkEnd w:id="246"/>
      <w:r>
        <w:rPr>
          <w:rFonts w:hint="eastAsia"/>
        </w:rPr>
        <w:t>日期；产品采收日期、采收数量、去向；并与追溯体系衔接。档案保留时间不少于2年。参照GB/T20014.1的规定执行。</w:t>
      </w:r>
    </w:p>
    <w:p>
      <w:pPr>
        <w:pStyle w:val="37"/>
        <w:numPr>
          <w:ilvl w:val="0"/>
          <w:numId w:val="0"/>
        </w:numPr>
        <w:rPr>
          <w:rFonts w:hint="eastAsia"/>
        </w:rPr>
      </w:pPr>
      <w:bookmarkStart w:id="234" w:name="_Toc312"/>
      <w:bookmarkStart w:id="235" w:name="_Toc6822"/>
      <w:bookmarkStart w:id="236" w:name="_Toc15989"/>
      <w:bookmarkStart w:id="237" w:name="_Toc48657917"/>
      <w:bookmarkStart w:id="238" w:name="_Toc48658236"/>
      <w:r>
        <w:rPr>
          <w:rFonts w:hint="eastAsia"/>
        </w:rPr>
        <w:t>9.4　农田废弃物管理</w:t>
      </w:r>
      <w:bookmarkEnd w:id="234"/>
      <w:bookmarkEnd w:id="235"/>
      <w:bookmarkEnd w:id="236"/>
      <w:bookmarkEnd w:id="237"/>
      <w:bookmarkEnd w:id="238"/>
      <w:r>
        <w:rPr>
          <w:rFonts w:hint="eastAsia"/>
        </w:rPr>
        <w:t>　</w:t>
      </w:r>
    </w:p>
    <w:p>
      <w:pPr>
        <w:pStyle w:val="20"/>
        <w:rPr>
          <w:rFonts w:hint="eastAsia"/>
        </w:rPr>
      </w:pPr>
      <w:r>
        <w:rPr>
          <w:rFonts w:hint="eastAsia"/>
        </w:rPr>
        <w:t>使用过的地膜、棚膜、滴管、肥料袋、农药瓶（袋）、农用塑料包装物等农田废弃物要及时清理出田园，并做好垃圾的分类投放和管理。</w:t>
      </w:r>
    </w:p>
    <w:p>
      <w:pPr>
        <w:pStyle w:val="20"/>
        <w:spacing w:line="360" w:lineRule="auto"/>
        <w:ind w:firstLine="0" w:firstLineChars="0"/>
        <w:rPr>
          <w:rFonts w:hint="eastAsia"/>
          <w:szCs w:val="21"/>
        </w:rPr>
      </w:pPr>
    </w:p>
    <w:p>
      <w:pPr>
        <w:pStyle w:val="40"/>
        <w:numPr>
          <w:ilvl w:val="0"/>
          <w:numId w:val="0"/>
        </w:numPr>
        <w:rPr>
          <w:rFonts w:hint="eastAsia"/>
        </w:rPr>
      </w:pPr>
    </w:p>
    <w:p>
      <w:pPr>
        <w:pStyle w:val="40"/>
        <w:numPr>
          <w:ilvl w:val="0"/>
          <w:numId w:val="0"/>
        </w:numPr>
        <w:rPr>
          <w:rFonts w:hint="eastAsia"/>
        </w:rPr>
      </w:pPr>
    </w:p>
    <w:p>
      <w:pPr>
        <w:pStyle w:val="93"/>
        <w:rPr>
          <w:rFonts w:hint="eastAsia"/>
        </w:rPr>
      </w:pPr>
    </w:p>
    <w:p>
      <w:pPr>
        <w:pStyle w:val="81"/>
        <w:rPr>
          <w:rFonts w:hint="eastAsia"/>
        </w:rPr>
      </w:pPr>
    </w:p>
    <w:p>
      <w:pPr>
        <w:pStyle w:val="79"/>
        <w:rPr>
          <w:rFonts w:hint="eastAsia"/>
        </w:rPr>
      </w:pPr>
      <w:r>
        <w:br w:type="textWrapping"/>
      </w:r>
      <w:bookmarkStart w:id="239" w:name="_Toc48658237"/>
      <w:r>
        <w:rPr>
          <w:rFonts w:hint="eastAsia"/>
        </w:rPr>
        <w:t>（资料性附录）</w:t>
      </w:r>
      <w:r>
        <w:br w:type="textWrapping"/>
      </w:r>
      <w:r>
        <w:rPr>
          <w:rFonts w:hint="eastAsia"/>
        </w:rPr>
        <w:t>主要病虫害防治方法</w:t>
      </w:r>
      <w:bookmarkEnd w:id="239"/>
    </w:p>
    <w:p>
      <w:pPr>
        <w:pStyle w:val="20"/>
        <w:rPr>
          <w:rFonts w:hint="eastAsia" w:ascii="黑体" w:eastAsia="黑体"/>
        </w:rPr>
      </w:pPr>
      <w:r>
        <w:rPr>
          <w:rFonts w:hint="eastAsia" w:ascii="黑体" w:eastAsia="黑体"/>
        </w:rPr>
        <w:t>茎腐病：</w:t>
      </w:r>
      <w:r>
        <w:rPr>
          <w:rFonts w:ascii="黑体" w:eastAsia="黑体"/>
        </w:rPr>
        <w:t>可用50%多菌灵可湿性粉剂+50%福美双1000倍液</w:t>
      </w:r>
      <w:r>
        <w:rPr>
          <w:rFonts w:hint="eastAsia" w:ascii="黑体" w:eastAsia="黑体"/>
        </w:rPr>
        <w:t>，</w:t>
      </w:r>
      <w:r>
        <w:rPr>
          <w:rFonts w:ascii="黑体" w:eastAsia="黑体"/>
        </w:rPr>
        <w:t>或30%甲霜·恶霉灵800倍液</w:t>
      </w:r>
      <w:r>
        <w:rPr>
          <w:rFonts w:hint="eastAsia" w:ascii="黑体" w:eastAsia="黑体"/>
        </w:rPr>
        <w:t>，或10%苯醚甲环唑水分散粒剂1500倍液，或30%咯菌腈悬浮剂3000倍液，或25%丙环唑乳油1000倍液</w:t>
      </w:r>
      <w:r>
        <w:rPr>
          <w:rFonts w:ascii="黑体" w:eastAsia="黑体"/>
        </w:rPr>
        <w:t>喷雾防治，一般每隔7 d喷一次，连续喷2～3次。</w:t>
      </w:r>
    </w:p>
    <w:p>
      <w:pPr>
        <w:pStyle w:val="40"/>
        <w:numPr>
          <w:ilvl w:val="0"/>
          <w:numId w:val="0"/>
        </w:numPr>
      </w:pPr>
      <w:bookmarkStart w:id="240" w:name="_Toc48658238"/>
      <w:r>
        <w:t>软腐病</w:t>
      </w:r>
      <w:r>
        <w:rPr>
          <w:rFonts w:hint="eastAsia"/>
        </w:rPr>
        <w:t>：</w:t>
      </w:r>
      <w:r>
        <w:t>可用</w:t>
      </w:r>
      <w:r>
        <w:rPr>
          <w:rFonts w:hint="eastAsia"/>
        </w:rPr>
        <w:t>46%氢氧化铜水分散粒剂1500倍液</w:t>
      </w:r>
      <w:r>
        <w:t>，或</w:t>
      </w:r>
      <w:r>
        <w:rPr>
          <w:rFonts w:hint="eastAsia"/>
        </w:rPr>
        <w:t>20%噻唑锌悬浮剂500</w:t>
      </w:r>
      <w:r>
        <w:t>倍液</w:t>
      </w:r>
      <w:r>
        <w:rPr>
          <w:rFonts w:hint="eastAsia"/>
        </w:rPr>
        <w:t>，或33.5%喹啉铜1000倍液</w:t>
      </w:r>
      <w:r>
        <w:rPr>
          <w:color w:val="000000"/>
        </w:rPr>
        <w:t>喷雾防治</w:t>
      </w:r>
      <w:r>
        <w:t>，</w:t>
      </w:r>
      <w:r>
        <w:rPr>
          <w:color w:val="000000"/>
        </w:rPr>
        <w:t>一般每隔7～10 d喷一次，连喷1～3次。</w:t>
      </w:r>
      <w:r>
        <w:t>灰霉病</w:t>
      </w:r>
      <w:r>
        <w:rPr>
          <w:rFonts w:hint="eastAsia"/>
        </w:rPr>
        <w:t>：</w:t>
      </w:r>
      <w:r>
        <w:t>一般用</w:t>
      </w:r>
      <w:r>
        <w:rPr>
          <w:rFonts w:hint="eastAsia"/>
        </w:rPr>
        <w:t>400克/升嘧霉胺悬浮剂1500倍液</w:t>
      </w:r>
      <w:r>
        <w:rPr>
          <w:rFonts w:hint="eastAsia"/>
          <w:color w:val="000000"/>
        </w:rPr>
        <w:t>，</w:t>
      </w:r>
      <w:r>
        <w:rPr>
          <w:color w:val="000000"/>
        </w:rPr>
        <w:t>或</w:t>
      </w:r>
      <w:r>
        <w:rPr>
          <w:rFonts w:hint="eastAsia"/>
          <w:color w:val="000000"/>
        </w:rPr>
        <w:t>500克/升异菌脲悬浮剂</w:t>
      </w:r>
      <w:r>
        <w:rPr>
          <w:rFonts w:hint="eastAsia"/>
        </w:rPr>
        <w:t>75</w:t>
      </w:r>
      <w:r>
        <w:t>0倍液</w:t>
      </w:r>
      <w:r>
        <w:rPr>
          <w:rFonts w:hint="eastAsia"/>
        </w:rPr>
        <w:t>，或30%咯菌腈悬浮剂3000倍液</w:t>
      </w:r>
      <w:r>
        <w:rPr>
          <w:color w:val="000000"/>
        </w:rPr>
        <w:t>喷雾防治</w:t>
      </w:r>
      <w:r>
        <w:t>，</w:t>
      </w:r>
      <w:r>
        <w:rPr>
          <w:color w:val="000000"/>
        </w:rPr>
        <w:t>每隔7 d喷一次，连喷1～2次。</w:t>
      </w:r>
      <w:bookmarkEnd w:id="240"/>
    </w:p>
    <w:p>
      <w:pPr>
        <w:pStyle w:val="40"/>
        <w:numPr>
          <w:ilvl w:val="0"/>
          <w:numId w:val="0"/>
        </w:numPr>
        <w:rPr>
          <w:rFonts w:hint="eastAsia"/>
        </w:rPr>
      </w:pPr>
      <w:bookmarkStart w:id="241" w:name="_Toc48658239"/>
      <w:r>
        <w:t>白绢病</w:t>
      </w:r>
      <w:r>
        <w:rPr>
          <w:rFonts w:hint="eastAsia"/>
        </w:rPr>
        <w:t>：</w:t>
      </w:r>
      <w:r>
        <w:t>一般用</w:t>
      </w:r>
      <w:r>
        <w:rPr>
          <w:rFonts w:hint="eastAsia"/>
        </w:rPr>
        <w:t>6</w:t>
      </w:r>
      <w:r>
        <w:t>%</w:t>
      </w:r>
      <w:r>
        <w:rPr>
          <w:rFonts w:hint="eastAsia"/>
        </w:rPr>
        <w:t>井岗.嘧苷素水剂60倍液喷淋，或</w:t>
      </w:r>
      <w:r>
        <w:t>50%多菌灵可湿性粉剂800倍</w:t>
      </w:r>
      <w:r>
        <w:rPr>
          <w:rFonts w:hint="eastAsia"/>
        </w:rPr>
        <w:t>液</w:t>
      </w:r>
      <w:r>
        <w:t>，</w:t>
      </w:r>
      <w:r>
        <w:rPr>
          <w:rFonts w:hint="eastAsia"/>
        </w:rPr>
        <w:t>或</w:t>
      </w:r>
      <w:r>
        <w:t>70%甲基托布津可湿性粉剂800倍液</w:t>
      </w:r>
      <w:r>
        <w:rPr>
          <w:rFonts w:hint="eastAsia"/>
        </w:rPr>
        <w:t>，或240克/升噻呋酰胺悬浮剂1000</w:t>
      </w:r>
      <w:r>
        <w:t>倍液</w:t>
      </w:r>
      <w:r>
        <w:rPr>
          <w:rFonts w:hint="eastAsia"/>
        </w:rPr>
        <w:t>，或10%井冈霉素水溶粉剂100倍液</w:t>
      </w:r>
      <w:r>
        <w:t>喷雾防治，每7 d喷一次，连喷1</w:t>
      </w:r>
      <w:r>
        <w:rPr>
          <w:color w:val="000000"/>
        </w:rPr>
        <w:t>～</w:t>
      </w:r>
      <w:r>
        <w:t>2次；</w:t>
      </w:r>
      <w:r>
        <w:rPr>
          <w:color w:val="000000"/>
        </w:rPr>
        <w:t>严重时将病株连其周围基质一起清除，并用</w:t>
      </w:r>
      <w:r>
        <w:t>50%腐霉利可湿性粉剂500倍液喷雾，一般每隔7 d喷一次，连喷2~3次。</w:t>
      </w:r>
      <w:bookmarkEnd w:id="241"/>
    </w:p>
    <w:p>
      <w:pPr>
        <w:pStyle w:val="20"/>
        <w:ind w:firstLine="0" w:firstLineChars="0"/>
        <w:rPr>
          <w:rFonts w:hint="eastAsia" w:ascii="黑体" w:eastAsia="黑体"/>
        </w:rPr>
      </w:pPr>
      <w:r>
        <w:rPr>
          <w:rFonts w:hint="eastAsia" w:ascii="黑体" w:eastAsia="黑体"/>
        </w:rPr>
        <w:t>炭疽病：4%嘧啶核苷类抗菌素60倍液喷施。</w:t>
      </w:r>
    </w:p>
    <w:p>
      <w:pPr>
        <w:pStyle w:val="20"/>
        <w:ind w:firstLine="0" w:firstLineChars="0"/>
        <w:rPr>
          <w:rFonts w:ascii="黑体" w:eastAsia="黑体"/>
        </w:rPr>
      </w:pPr>
      <w:r>
        <w:rPr>
          <w:rFonts w:hint="eastAsia" w:ascii="黑体" w:eastAsia="黑体"/>
        </w:rPr>
        <w:t>猝倒病：3亿CFU/克可湿性粉剂4</w:t>
      </w:r>
      <w:r>
        <w:rPr>
          <w:color w:val="000000"/>
        </w:rPr>
        <w:t>～</w:t>
      </w:r>
      <w:r>
        <w:rPr>
          <w:rFonts w:hint="eastAsia"/>
          <w:color w:val="000000"/>
        </w:rPr>
        <w:t>6/平方米浇灌。</w:t>
      </w:r>
    </w:p>
    <w:p>
      <w:pPr>
        <w:pStyle w:val="40"/>
        <w:numPr>
          <w:ilvl w:val="0"/>
          <w:numId w:val="0"/>
        </w:numPr>
        <w:rPr>
          <w:color w:val="000000"/>
        </w:rPr>
      </w:pPr>
      <w:bookmarkStart w:id="242" w:name="_Toc48658240"/>
      <w:r>
        <w:t>蜗牛和蛞蝓</w:t>
      </w:r>
      <w:r>
        <w:rPr>
          <w:rFonts w:hint="eastAsia"/>
        </w:rPr>
        <w:t>：</w:t>
      </w:r>
      <w:r>
        <w:t xml:space="preserve"> 在畦四周撒石灰或6%四聚乙醛颗粒剂拌细沙撒施，防止蜗牛和蛞蝓爬入畦内危害。</w:t>
      </w:r>
      <w:bookmarkEnd w:id="242"/>
    </w:p>
    <w:p>
      <w:pPr>
        <w:pStyle w:val="40"/>
        <w:numPr>
          <w:ilvl w:val="0"/>
          <w:numId w:val="0"/>
        </w:numPr>
        <w:rPr>
          <w:rFonts w:hint="eastAsia"/>
        </w:rPr>
      </w:pPr>
      <w:bookmarkStart w:id="243" w:name="_Toc48658241"/>
      <w:r>
        <w:t>蝼蛄和小地老虎</w:t>
      </w:r>
      <w:r>
        <w:rPr>
          <w:rFonts w:hint="eastAsia"/>
        </w:rPr>
        <w:t>：80亿孢子/毫升 颗粒剂15公斤/亩撒施。</w:t>
      </w:r>
      <w:bookmarkEnd w:id="243"/>
    </w:p>
    <w:p>
      <w:pPr>
        <w:pStyle w:val="20"/>
        <w:tabs>
          <w:tab w:val="left" w:pos="4702"/>
          <w:tab w:val="clear" w:pos="9298"/>
        </w:tabs>
        <w:ind w:firstLine="0" w:firstLineChars="0"/>
        <w:rPr>
          <w:rFonts w:hint="eastAsia" w:ascii="黑体" w:eastAsia="黑体"/>
        </w:rPr>
      </w:pPr>
      <w:r>
        <w:rPr>
          <w:rFonts w:hint="eastAsia" w:ascii="黑体" w:eastAsia="黑体"/>
        </w:rPr>
        <w:t>鳞翅目幼虫：20%氯虫苯甲酰胺3000倍液喷施。</w:t>
      </w:r>
      <w:r>
        <w:rPr>
          <w:rFonts w:ascii="黑体" w:eastAsia="黑体"/>
        </w:rPr>
        <w:tab/>
      </w:r>
    </w:p>
    <w:p>
      <w:pPr>
        <w:pStyle w:val="40"/>
        <w:numPr>
          <w:ilvl w:val="0"/>
          <w:numId w:val="0"/>
        </w:numPr>
      </w:pPr>
      <w:r>
        <w:t xml:space="preserve"> </w:t>
      </w:r>
      <w:bookmarkStart w:id="244" w:name="_Toc48658242"/>
      <w:r>
        <w:t>金线莲禁止使用的农药</w:t>
      </w:r>
      <w:bookmarkEnd w:id="244"/>
    </w:p>
    <w:p>
      <w:pPr>
        <w:pStyle w:val="40"/>
        <w:numPr>
          <w:ilvl w:val="0"/>
          <w:numId w:val="0"/>
        </w:numPr>
        <w:rPr>
          <w:rFonts w:hint="eastAsia"/>
        </w:rPr>
      </w:pPr>
      <w:bookmarkStart w:id="245" w:name="_Toc48658243"/>
      <w:r>
        <w:t>六六六、滴滴涕、毒杀芬、二溴氯丙烷、杀虫脒、二溴乙烷、除草醚、艾氏剂、狄氏剂、汞制剂、砷、铅类、敌枯双、氟乙酰胺、甘氟、毒鼠强、氟乙酸钠、毒鼠硅、甲胺磷、氟虫腈、甲基对硫磷、对硫磷、久效磷、磷胺、甲拌磷、甲基异柳磷、特丁硫磷、甲基硫环磷、治螟磷、磷化钙、磷化镁、磷化锌、硫线磷、内吸磷、克百威、涕灭威、灭线磷、硫环磷、蝇毒磷、地虫硫磷、氯唑磷、苯线磷、氧化乐果、五氯酚钠、杀虫脒、三氯杀螨醇</w:t>
      </w:r>
      <w:r>
        <w:rPr>
          <w:rFonts w:hint="eastAsia"/>
        </w:rPr>
        <w:t>、磷化铝、硫丹、水胺硫磷、杀扑磷</w:t>
      </w:r>
      <w:r>
        <w:t>等其他高毒、高残留农药。</w:t>
      </w:r>
      <w:bookmarkEnd w:id="245"/>
    </w:p>
    <w:p>
      <w:pPr>
        <w:pStyle w:val="20"/>
        <w:rPr>
          <w:rFonts w:hint="eastAsia"/>
        </w:rPr>
      </w:pPr>
      <w:r>
        <w:rPr>
          <w:rFonts w:hint="eastAsia"/>
        </w:rPr>
        <w:t>注：</w:t>
      </w:r>
      <w:r>
        <w:t>资料来源于《中华人民共和国农业部公告第194号</w:t>
      </w:r>
      <w:r>
        <w:rPr>
          <w:rFonts w:hint="eastAsia"/>
        </w:rPr>
        <w:t>、</w:t>
      </w:r>
      <w:r>
        <w:t>第199号、</w:t>
      </w:r>
      <w:r>
        <w:rPr>
          <w:rFonts w:hint="eastAsia"/>
        </w:rPr>
        <w:t>第274号、第</w:t>
      </w:r>
      <w:r>
        <w:t>1157号、</w:t>
      </w:r>
      <w:r>
        <w:rPr>
          <w:rFonts w:hint="eastAsia"/>
        </w:rPr>
        <w:t>第</w:t>
      </w:r>
      <w:r>
        <w:t>1586号、</w:t>
      </w:r>
      <w:r>
        <w:rPr>
          <w:rFonts w:hint="eastAsia"/>
        </w:rPr>
        <w:t>“关于进一步加强中药材管理的通知”（食药监[2013]208号）</w:t>
      </w:r>
    </w:p>
    <w:p>
      <w:pPr>
        <w:pStyle w:val="93"/>
      </w:pPr>
    </w:p>
    <w:p>
      <w:pPr>
        <w:pStyle w:val="81"/>
        <w:rPr>
          <w:rFonts w:hint="eastAsia"/>
        </w:rPr>
      </w:pPr>
      <w:r>
        <w:t>_________________________________</w:t>
      </w:r>
    </w:p>
    <w:sectPr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t>DBXX/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3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1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47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16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60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4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0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93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4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43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4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5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1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54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49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56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57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123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81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2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21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79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  <w:lang w:val="en-US"/>
      </w:rPr>
    </w:lvl>
    <w:lvl w:ilvl="1" w:tentative="0">
      <w:start w:val="1"/>
      <w:numFmt w:val="decimal"/>
      <w:pStyle w:val="9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8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5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100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0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 w:tentative="0">
      <w:start w:val="1"/>
      <w:numFmt w:val="none"/>
      <w:pStyle w:val="52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50000" w:hash="RlbhHhxcHy5sWcITLsiX4G1EEnQ=" w:salt="ZsbKDAIs9B8+YdR/PflUr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925"/>
    <w:rsid w:val="00067CDF"/>
    <w:rsid w:val="00074FBE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1056DE"/>
    <w:rsid w:val="001124C0"/>
    <w:rsid w:val="0013175F"/>
    <w:rsid w:val="001512B4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0693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06095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F73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D0967"/>
    <w:rsid w:val="003E1867"/>
    <w:rsid w:val="003E5729"/>
    <w:rsid w:val="003F4EE0"/>
    <w:rsid w:val="00402153"/>
    <w:rsid w:val="00402FC1"/>
    <w:rsid w:val="00425082"/>
    <w:rsid w:val="00431DEB"/>
    <w:rsid w:val="00446B29"/>
    <w:rsid w:val="00453F9A"/>
    <w:rsid w:val="00461A84"/>
    <w:rsid w:val="00471E91"/>
    <w:rsid w:val="00474675"/>
    <w:rsid w:val="0047470C"/>
    <w:rsid w:val="00480E78"/>
    <w:rsid w:val="004A35F9"/>
    <w:rsid w:val="004B24C1"/>
    <w:rsid w:val="004C292F"/>
    <w:rsid w:val="004F7820"/>
    <w:rsid w:val="00506452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8464E"/>
    <w:rsid w:val="005A01CB"/>
    <w:rsid w:val="005A58FF"/>
    <w:rsid w:val="005A5EAF"/>
    <w:rsid w:val="005A64C0"/>
    <w:rsid w:val="005B3C11"/>
    <w:rsid w:val="005C1C28"/>
    <w:rsid w:val="005C6DB5"/>
    <w:rsid w:val="005E19E7"/>
    <w:rsid w:val="0061716C"/>
    <w:rsid w:val="006243A1"/>
    <w:rsid w:val="00632E56"/>
    <w:rsid w:val="00635CBA"/>
    <w:rsid w:val="0064338B"/>
    <w:rsid w:val="00646542"/>
    <w:rsid w:val="006504F4"/>
    <w:rsid w:val="00650508"/>
    <w:rsid w:val="00652D92"/>
    <w:rsid w:val="00654BC9"/>
    <w:rsid w:val="006552FD"/>
    <w:rsid w:val="00663AF3"/>
    <w:rsid w:val="00666B6C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704DF6"/>
    <w:rsid w:val="0070651C"/>
    <w:rsid w:val="007132A3"/>
    <w:rsid w:val="00716421"/>
    <w:rsid w:val="00720DA1"/>
    <w:rsid w:val="00724EFB"/>
    <w:rsid w:val="007419C3"/>
    <w:rsid w:val="007467A7"/>
    <w:rsid w:val="007469DD"/>
    <w:rsid w:val="0074741B"/>
    <w:rsid w:val="0074759E"/>
    <w:rsid w:val="007478EA"/>
    <w:rsid w:val="0075415C"/>
    <w:rsid w:val="00757A9D"/>
    <w:rsid w:val="00763502"/>
    <w:rsid w:val="007913AB"/>
    <w:rsid w:val="007914F7"/>
    <w:rsid w:val="007B1625"/>
    <w:rsid w:val="007B706E"/>
    <w:rsid w:val="007B71EB"/>
    <w:rsid w:val="007C5C5C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7198C"/>
    <w:rsid w:val="00872C1F"/>
    <w:rsid w:val="00873B42"/>
    <w:rsid w:val="008856D8"/>
    <w:rsid w:val="00892E82"/>
    <w:rsid w:val="008C1B58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323E6"/>
    <w:rsid w:val="009333DD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18B0"/>
    <w:rsid w:val="00A22154"/>
    <w:rsid w:val="00A25C38"/>
    <w:rsid w:val="00A36BBE"/>
    <w:rsid w:val="00A4307A"/>
    <w:rsid w:val="00A47EBB"/>
    <w:rsid w:val="00A51CDD"/>
    <w:rsid w:val="00A6730D"/>
    <w:rsid w:val="00A71625"/>
    <w:rsid w:val="00A71B9B"/>
    <w:rsid w:val="00A751C7"/>
    <w:rsid w:val="00A87844"/>
    <w:rsid w:val="00AA038C"/>
    <w:rsid w:val="00AA7A09"/>
    <w:rsid w:val="00AB3B50"/>
    <w:rsid w:val="00AC05B1"/>
    <w:rsid w:val="00AD356C"/>
    <w:rsid w:val="00AE2914"/>
    <w:rsid w:val="00AE6D15"/>
    <w:rsid w:val="00B04182"/>
    <w:rsid w:val="00B07AE3"/>
    <w:rsid w:val="00B11430"/>
    <w:rsid w:val="00B353EB"/>
    <w:rsid w:val="00B439C4"/>
    <w:rsid w:val="00B4535E"/>
    <w:rsid w:val="00B52A8C"/>
    <w:rsid w:val="00B636A8"/>
    <w:rsid w:val="00B665C6"/>
    <w:rsid w:val="00B805AF"/>
    <w:rsid w:val="00B81B33"/>
    <w:rsid w:val="00B869EC"/>
    <w:rsid w:val="00B91C51"/>
    <w:rsid w:val="00B9397A"/>
    <w:rsid w:val="00B9633D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601D2"/>
    <w:rsid w:val="00C65BCC"/>
    <w:rsid w:val="00C66970"/>
    <w:rsid w:val="00C8691C"/>
    <w:rsid w:val="00CA168A"/>
    <w:rsid w:val="00CA357E"/>
    <w:rsid w:val="00CA44F9"/>
    <w:rsid w:val="00CA4A69"/>
    <w:rsid w:val="00CC3E0C"/>
    <w:rsid w:val="00CC58D3"/>
    <w:rsid w:val="00CC784D"/>
    <w:rsid w:val="00CF0A75"/>
    <w:rsid w:val="00D0337B"/>
    <w:rsid w:val="00D079B2"/>
    <w:rsid w:val="00D114E9"/>
    <w:rsid w:val="00D429C6"/>
    <w:rsid w:val="00D42DE6"/>
    <w:rsid w:val="00D47748"/>
    <w:rsid w:val="00D54CC3"/>
    <w:rsid w:val="00D6041A"/>
    <w:rsid w:val="00D6114D"/>
    <w:rsid w:val="00D633EB"/>
    <w:rsid w:val="00D82FF7"/>
    <w:rsid w:val="00D847FE"/>
    <w:rsid w:val="00D964EA"/>
    <w:rsid w:val="00D966D0"/>
    <w:rsid w:val="00DA0C59"/>
    <w:rsid w:val="00DA3991"/>
    <w:rsid w:val="00DB7E6C"/>
    <w:rsid w:val="00DD5A29"/>
    <w:rsid w:val="00DD5D9D"/>
    <w:rsid w:val="00DE35CB"/>
    <w:rsid w:val="00DF21E9"/>
    <w:rsid w:val="00E00F14"/>
    <w:rsid w:val="00E06386"/>
    <w:rsid w:val="00E24EB4"/>
    <w:rsid w:val="00E320ED"/>
    <w:rsid w:val="00E33AFB"/>
    <w:rsid w:val="00E34218"/>
    <w:rsid w:val="00E46282"/>
    <w:rsid w:val="00E5216E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11BB5"/>
    <w:rsid w:val="00F1417B"/>
    <w:rsid w:val="00F30664"/>
    <w:rsid w:val="00F34B99"/>
    <w:rsid w:val="00F52DAB"/>
    <w:rsid w:val="00F543F0"/>
    <w:rsid w:val="00F81D29"/>
    <w:rsid w:val="00F91C4D"/>
    <w:rsid w:val="00F92FD9"/>
    <w:rsid w:val="00FA6684"/>
    <w:rsid w:val="00FA731E"/>
    <w:rsid w:val="00FB2B38"/>
    <w:rsid w:val="00FC6358"/>
    <w:rsid w:val="00FD320D"/>
    <w:rsid w:val="00FE23DE"/>
    <w:rsid w:val="0D161961"/>
    <w:rsid w:val="70A4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39" w:semiHidden="0" w:name="toc 1"/>
    <w:lsdException w:unhideWhenUsed="0" w:uiPriority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0" w:name="toc 5"/>
    <w:lsdException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0">
    <w:name w:val="Default Paragraph Font"/>
    <w:semiHidden/>
    <w:qFormat/>
    <w:uiPriority w:val="0"/>
  </w:style>
  <w:style w:type="table" w:default="1" w:styleId="2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qFormat/>
    <w:uiPriority w:val="39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uiPriority w:val="0"/>
    <w:pPr>
      <w:snapToGrid w:val="0"/>
      <w:jc w:val="left"/>
    </w:pPr>
  </w:style>
  <w:style w:type="paragraph" w:styleId="14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5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6">
    <w:name w:val="toc 1"/>
    <w:basedOn w:val="1"/>
    <w:next w:val="1"/>
    <w:uiPriority w:val="3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17">
    <w:name w:val="toc 4"/>
    <w:basedOn w:val="1"/>
    <w:next w:val="1"/>
    <w:qFormat/>
    <w:uiPriority w:val="39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18">
    <w:name w:val="index heading"/>
    <w:basedOn w:val="1"/>
    <w:next w:val="19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9">
    <w:name w:val="index 1"/>
    <w:basedOn w:val="1"/>
    <w:next w:val="20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0">
    <w:name w:val="段"/>
    <w:link w:val="36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1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2">
    <w:name w:val="toc 6"/>
    <w:basedOn w:val="1"/>
    <w:next w:val="1"/>
    <w:semiHidden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3">
    <w:name w:val="index 7"/>
    <w:basedOn w:val="1"/>
    <w:next w:val="1"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4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5">
    <w:name w:val="toc 2"/>
    <w:basedOn w:val="1"/>
    <w:next w:val="1"/>
    <w:semiHidden/>
    <w:uiPriority w:val="0"/>
    <w:pPr>
      <w:tabs>
        <w:tab w:val="right" w:leader="dot" w:pos="9241"/>
      </w:tabs>
    </w:pPr>
    <w:rPr>
      <w:rFonts w:ascii="宋体"/>
      <w:szCs w:val="21"/>
    </w:rPr>
  </w:style>
  <w:style w:type="paragraph" w:styleId="26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7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29">
    <w:name w:val="Table Grid"/>
    <w:basedOn w:val="28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endnote reference"/>
    <w:basedOn w:val="30"/>
    <w:semiHidden/>
    <w:uiPriority w:val="0"/>
    <w:rPr>
      <w:vertAlign w:val="superscript"/>
    </w:rPr>
  </w:style>
  <w:style w:type="character" w:styleId="32">
    <w:name w:val="page number"/>
    <w:basedOn w:val="30"/>
    <w:uiPriority w:val="0"/>
    <w:rPr>
      <w:rFonts w:ascii="Times New Roman" w:hAnsi="Times New Roman" w:eastAsia="宋体"/>
      <w:sz w:val="18"/>
    </w:rPr>
  </w:style>
  <w:style w:type="character" w:styleId="33">
    <w:name w:val="FollowedHyperlink"/>
    <w:basedOn w:val="30"/>
    <w:uiPriority w:val="0"/>
    <w:rPr>
      <w:color w:val="800080"/>
      <w:u w:val="single"/>
    </w:rPr>
  </w:style>
  <w:style w:type="character" w:styleId="34">
    <w:name w:val="Hyperlink"/>
    <w:basedOn w:val="30"/>
    <w:uiPriority w:val="99"/>
    <w:rPr>
      <w:color w:val="0000FF"/>
      <w:spacing w:val="0"/>
      <w:w w:val="100"/>
      <w:szCs w:val="21"/>
      <w:u w:val="single"/>
    </w:rPr>
  </w:style>
  <w:style w:type="character" w:styleId="35">
    <w:name w:val="footnote reference"/>
    <w:basedOn w:val="30"/>
    <w:semiHidden/>
    <w:qFormat/>
    <w:uiPriority w:val="0"/>
    <w:rPr>
      <w:vertAlign w:val="superscript"/>
    </w:rPr>
  </w:style>
  <w:style w:type="character" w:customStyle="1" w:styleId="36">
    <w:name w:val="段 Char"/>
    <w:basedOn w:val="30"/>
    <w:link w:val="20"/>
    <w:uiPriority w:val="0"/>
    <w:rPr>
      <w:rFonts w:ascii="宋体"/>
      <w:sz w:val="21"/>
      <w:lang w:val="en-US" w:eastAsia="zh-CN" w:bidi="ar-SA"/>
    </w:rPr>
  </w:style>
  <w:style w:type="paragraph" w:customStyle="1" w:styleId="37">
    <w:name w:val="一级条标题"/>
    <w:next w:val="20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8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9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0">
    <w:name w:val="章标题"/>
    <w:next w:val="20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1">
    <w:name w:val="二级条标题"/>
    <w:basedOn w:val="37"/>
    <w:next w:val="20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2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3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4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目次、标准名称标题"/>
    <w:basedOn w:val="1"/>
    <w:next w:val="20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6">
    <w:name w:val="三级条标题"/>
    <w:basedOn w:val="41"/>
    <w:next w:val="20"/>
    <w:qFormat/>
    <w:uiPriority w:val="0"/>
    <w:pPr>
      <w:numPr>
        <w:ilvl w:val="3"/>
      </w:numPr>
      <w:outlineLvl w:val="4"/>
    </w:pPr>
  </w:style>
  <w:style w:type="paragraph" w:customStyle="1" w:styleId="47">
    <w:name w:val="示例"/>
    <w:next w:val="48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8">
    <w:name w:val="示例内容"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0">
    <w:name w:val="四级条标题"/>
    <w:basedOn w:val="46"/>
    <w:next w:val="20"/>
    <w:qFormat/>
    <w:uiPriority w:val="0"/>
    <w:pPr>
      <w:numPr>
        <w:ilvl w:val="4"/>
      </w:numPr>
      <w:outlineLvl w:val="5"/>
    </w:pPr>
  </w:style>
  <w:style w:type="paragraph" w:customStyle="1" w:styleId="51">
    <w:name w:val="五级条标题"/>
    <w:basedOn w:val="50"/>
    <w:next w:val="20"/>
    <w:qFormat/>
    <w:uiPriority w:val="0"/>
    <w:pPr>
      <w:numPr>
        <w:ilvl w:val="5"/>
      </w:numPr>
      <w:outlineLvl w:val="6"/>
    </w:pPr>
  </w:style>
  <w:style w:type="paragraph" w:customStyle="1" w:styleId="52">
    <w:name w:val="注："/>
    <w:next w:val="20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3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5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6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7">
    <w:name w:val="示例×："/>
    <w:basedOn w:val="40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58">
    <w:name w:val="二级无"/>
    <w:basedOn w:val="4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59">
    <w:name w:val="注：（正文）"/>
    <w:basedOn w:val="52"/>
    <w:next w:val="20"/>
    <w:qFormat/>
    <w:uiPriority w:val="0"/>
  </w:style>
  <w:style w:type="paragraph" w:customStyle="1" w:styleId="60">
    <w:name w:val="注×：（正文）"/>
    <w:uiPriority w:val="0"/>
    <w:pPr>
      <w:numPr>
        <w:ilvl w:val="0"/>
        <w:numId w:val="9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1">
    <w:name w:val="标准标志"/>
    <w:next w:val="1"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2">
    <w:name w:val="标准称谓"/>
    <w:next w:val="1"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3">
    <w:name w:val="标准书脚_偶数页"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4">
    <w:name w:val="标准书眉_偶数页"/>
    <w:basedOn w:val="39"/>
    <w:next w:val="1"/>
    <w:uiPriority w:val="0"/>
    <w:pPr>
      <w:jc w:val="left"/>
    </w:pPr>
  </w:style>
  <w:style w:type="paragraph" w:customStyle="1" w:styleId="65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6">
    <w:name w:val="参考文献"/>
    <w:basedOn w:val="1"/>
    <w:next w:val="20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7">
    <w:name w:val="参考文献、索引标题"/>
    <w:basedOn w:val="1"/>
    <w:next w:val="20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8">
    <w:name w:val="发布"/>
    <w:basedOn w:val="30"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69">
    <w:name w:val="发布部门"/>
    <w:next w:val="20"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0">
    <w:name w:val="发布日期"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1">
    <w:name w:val="封面标准代替信息"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2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3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4">
    <w:name w:val="封面标准英文名称"/>
    <w:basedOn w:val="73"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5">
    <w:name w:val="封面一致性程度标识"/>
    <w:basedOn w:val="74"/>
    <w:uiPriority w:val="0"/>
    <w:pPr>
      <w:spacing w:before="440"/>
    </w:pPr>
    <w:rPr>
      <w:rFonts w:ascii="宋体" w:eastAsia="宋体"/>
    </w:rPr>
  </w:style>
  <w:style w:type="paragraph" w:customStyle="1" w:styleId="76">
    <w:name w:val="封面标准文稿类别"/>
    <w:basedOn w:val="75"/>
    <w:uiPriority w:val="0"/>
    <w:pPr>
      <w:spacing w:after="160" w:line="240" w:lineRule="auto"/>
    </w:pPr>
    <w:rPr>
      <w:sz w:val="24"/>
    </w:rPr>
  </w:style>
  <w:style w:type="paragraph" w:customStyle="1" w:styleId="77">
    <w:name w:val="封面标准文稿编辑信息"/>
    <w:basedOn w:val="76"/>
    <w:uiPriority w:val="0"/>
    <w:pPr>
      <w:spacing w:before="180" w:line="180" w:lineRule="exact"/>
    </w:pPr>
    <w:rPr>
      <w:sz w:val="21"/>
    </w:rPr>
  </w:style>
  <w:style w:type="paragraph" w:customStyle="1" w:styleId="78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9">
    <w:name w:val="附录标识"/>
    <w:basedOn w:val="1"/>
    <w:next w:val="20"/>
    <w:uiPriority w:val="0"/>
    <w:pPr>
      <w:keepNext/>
      <w:widowControl/>
      <w:numPr>
        <w:ilvl w:val="0"/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0">
    <w:name w:val="附录标题"/>
    <w:basedOn w:val="20"/>
    <w:next w:val="20"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1">
    <w:name w:val="附录表标号"/>
    <w:basedOn w:val="1"/>
    <w:next w:val="20"/>
    <w:uiPriority w:val="0"/>
    <w:pPr>
      <w:numPr>
        <w:ilvl w:val="0"/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2">
    <w:name w:val="附录表标题"/>
    <w:basedOn w:val="1"/>
    <w:next w:val="20"/>
    <w:qFormat/>
    <w:uiPriority w:val="0"/>
    <w:pPr>
      <w:numPr>
        <w:ilvl w:val="1"/>
        <w:numId w:val="1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3">
    <w:name w:val="附录二级条标题"/>
    <w:basedOn w:val="1"/>
    <w:next w:val="20"/>
    <w:uiPriority w:val="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4">
    <w:name w:val="附录二级无"/>
    <w:basedOn w:val="83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5">
    <w:name w:val="附录公式"/>
    <w:basedOn w:val="20"/>
    <w:next w:val="20"/>
    <w:link w:val="86"/>
    <w:qFormat/>
    <w:uiPriority w:val="0"/>
  </w:style>
  <w:style w:type="character" w:customStyle="1" w:styleId="86">
    <w:name w:val="附录公式 Char"/>
    <w:basedOn w:val="36"/>
    <w:link w:val="85"/>
    <w:qFormat/>
    <w:uiPriority w:val="0"/>
  </w:style>
  <w:style w:type="paragraph" w:customStyle="1" w:styleId="87">
    <w:name w:val="附录公式编号制表符"/>
    <w:basedOn w:val="1"/>
    <w:next w:val="20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8">
    <w:name w:val="附录三级条标题"/>
    <w:basedOn w:val="83"/>
    <w:next w:val="20"/>
    <w:qFormat/>
    <w:uiPriority w:val="0"/>
    <w:pPr>
      <w:numPr>
        <w:ilvl w:val="4"/>
      </w:numPr>
      <w:outlineLvl w:val="4"/>
    </w:pPr>
  </w:style>
  <w:style w:type="paragraph" w:customStyle="1" w:styleId="89">
    <w:name w:val="附录三级无"/>
    <w:basedOn w:val="88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0">
    <w:name w:val="附录数字编号列项（二级）"/>
    <w:qFormat/>
    <w:uiPriority w:val="0"/>
    <w:pPr>
      <w:numPr>
        <w:ilvl w:val="1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1">
    <w:name w:val="附录四级条标题"/>
    <w:basedOn w:val="88"/>
    <w:next w:val="20"/>
    <w:qFormat/>
    <w:uiPriority w:val="0"/>
    <w:pPr>
      <w:numPr>
        <w:ilvl w:val="5"/>
      </w:numPr>
      <w:outlineLvl w:val="5"/>
    </w:pPr>
  </w:style>
  <w:style w:type="paragraph" w:customStyle="1" w:styleId="92">
    <w:name w:val="附录四级无"/>
    <w:basedOn w:val="91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3">
    <w:name w:val="附录图标号"/>
    <w:basedOn w:val="1"/>
    <w:qFormat/>
    <w:uiPriority w:val="0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4">
    <w:name w:val="附录图标题"/>
    <w:basedOn w:val="1"/>
    <w:next w:val="20"/>
    <w:qFormat/>
    <w:uiPriority w:val="0"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5">
    <w:name w:val="附录五级条标题"/>
    <w:basedOn w:val="91"/>
    <w:next w:val="20"/>
    <w:qFormat/>
    <w:uiPriority w:val="0"/>
    <w:pPr>
      <w:numPr>
        <w:ilvl w:val="6"/>
      </w:numPr>
      <w:outlineLvl w:val="6"/>
    </w:pPr>
  </w:style>
  <w:style w:type="paragraph" w:customStyle="1" w:styleId="96">
    <w:name w:val="附录五级无"/>
    <w:basedOn w:val="95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7">
    <w:name w:val="附录章标题"/>
    <w:next w:val="20"/>
    <w:uiPriority w:val="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8">
    <w:name w:val="附录一级条标题"/>
    <w:basedOn w:val="97"/>
    <w:next w:val="20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99">
    <w:name w:val="附录一级无"/>
    <w:basedOn w:val="98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0">
    <w:name w:val="附录字母编号列项（一级）"/>
    <w:qFormat/>
    <w:uiPriority w:val="0"/>
    <w:pPr>
      <w:numPr>
        <w:ilvl w:val="0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1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2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3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其他标准标志"/>
    <w:basedOn w:val="61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5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6">
    <w:name w:val="其他发布部门"/>
    <w:basedOn w:val="69"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7">
    <w:name w:val="前言、引言标题"/>
    <w:next w:val="20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8">
    <w:name w:val="三级无"/>
    <w:basedOn w:val="4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09">
    <w:name w:val="实施日期"/>
    <w:basedOn w:val="70"/>
    <w:qFormat/>
    <w:uiPriority w:val="0"/>
    <w:pPr>
      <w:framePr w:vAnchor="page"/>
      <w:jc w:val="right"/>
    </w:pPr>
  </w:style>
  <w:style w:type="paragraph" w:customStyle="1" w:styleId="110">
    <w:name w:val="示例后文字"/>
    <w:basedOn w:val="20"/>
    <w:next w:val="20"/>
    <w:qFormat/>
    <w:uiPriority w:val="0"/>
    <w:pPr>
      <w:ind w:firstLine="360"/>
    </w:pPr>
    <w:rPr>
      <w:sz w:val="18"/>
    </w:rPr>
  </w:style>
  <w:style w:type="paragraph" w:customStyle="1" w:styleId="111">
    <w:name w:val="首示例"/>
    <w:next w:val="20"/>
    <w:link w:val="112"/>
    <w:qFormat/>
    <w:uiPriority w:val="0"/>
    <w:pPr>
      <w:numPr>
        <w:ilvl w:val="0"/>
        <w:numId w:val="14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2">
    <w:name w:val="首示例 Char"/>
    <w:basedOn w:val="30"/>
    <w:link w:val="111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113">
    <w:name w:val="四级无"/>
    <w:basedOn w:val="50"/>
    <w:uiPriority w:val="0"/>
    <w:pPr>
      <w:spacing w:beforeLines="0" w:afterLines="0"/>
    </w:pPr>
    <w:rPr>
      <w:rFonts w:ascii="宋体" w:eastAsia="宋体"/>
    </w:rPr>
  </w:style>
  <w:style w:type="paragraph" w:customStyle="1" w:styleId="114">
    <w:name w:val="条文脚注"/>
    <w:basedOn w:val="21"/>
    <w:qFormat/>
    <w:uiPriority w:val="0"/>
    <w:pPr>
      <w:numPr>
        <w:numId w:val="0"/>
      </w:numPr>
      <w:jc w:val="both"/>
    </w:pPr>
  </w:style>
  <w:style w:type="paragraph" w:customStyle="1" w:styleId="115">
    <w:name w:val="图标脚注说明"/>
    <w:basedOn w:val="20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6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7">
    <w:name w:val="图的脚注"/>
    <w:next w:val="20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8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9">
    <w:name w:val="五级无"/>
    <w:basedOn w:val="51"/>
    <w:uiPriority w:val="0"/>
    <w:pPr>
      <w:spacing w:beforeLines="0" w:afterLines="0"/>
    </w:pPr>
    <w:rPr>
      <w:rFonts w:ascii="宋体" w:eastAsia="宋体"/>
    </w:rPr>
  </w:style>
  <w:style w:type="paragraph" w:customStyle="1" w:styleId="120">
    <w:name w:val="一级无"/>
    <w:basedOn w:val="3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1">
    <w:name w:val="正文表标题"/>
    <w:next w:val="20"/>
    <w:qFormat/>
    <w:uiPriority w:val="0"/>
    <w:pPr>
      <w:numPr>
        <w:ilvl w:val="0"/>
        <w:numId w:val="16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2">
    <w:name w:val="正文公式编号制表符"/>
    <w:basedOn w:val="20"/>
    <w:next w:val="20"/>
    <w:qFormat/>
    <w:uiPriority w:val="0"/>
    <w:pPr>
      <w:ind w:firstLine="0" w:firstLineChars="0"/>
    </w:pPr>
  </w:style>
  <w:style w:type="paragraph" w:customStyle="1" w:styleId="123">
    <w:name w:val="正文图标题"/>
    <w:next w:val="20"/>
    <w:qFormat/>
    <w:uiPriority w:val="0"/>
    <w:pPr>
      <w:numPr>
        <w:ilvl w:val="0"/>
        <w:numId w:val="1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4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5">
    <w:name w:val="其他发布日期"/>
    <w:basedOn w:val="70"/>
    <w:qFormat/>
    <w:uiPriority w:val="0"/>
    <w:pPr>
      <w:framePr w:vAnchor="page" w:x="1419"/>
    </w:pPr>
  </w:style>
  <w:style w:type="paragraph" w:customStyle="1" w:styleId="126">
    <w:name w:val="其他实施日期"/>
    <w:basedOn w:val="109"/>
    <w:qFormat/>
    <w:uiPriority w:val="0"/>
  </w:style>
  <w:style w:type="paragraph" w:customStyle="1" w:styleId="127">
    <w:name w:val="封面标准名称2"/>
    <w:basedOn w:val="73"/>
    <w:qFormat/>
    <w:uiPriority w:val="0"/>
    <w:pPr>
      <w:framePr w:y="4469"/>
      <w:spacing w:beforeLines="630"/>
    </w:pPr>
  </w:style>
  <w:style w:type="paragraph" w:customStyle="1" w:styleId="128">
    <w:name w:val="封面标准英文名称2"/>
    <w:basedOn w:val="74"/>
    <w:qFormat/>
    <w:uiPriority w:val="0"/>
    <w:pPr>
      <w:framePr w:y="4469"/>
    </w:pPr>
  </w:style>
  <w:style w:type="paragraph" w:customStyle="1" w:styleId="129">
    <w:name w:val="封面一致性程度标识2"/>
    <w:basedOn w:val="75"/>
    <w:qFormat/>
    <w:uiPriority w:val="0"/>
    <w:pPr>
      <w:framePr w:y="4469"/>
    </w:pPr>
  </w:style>
  <w:style w:type="paragraph" w:customStyle="1" w:styleId="130">
    <w:name w:val="封面标准文稿类别2"/>
    <w:basedOn w:val="76"/>
    <w:qFormat/>
    <w:uiPriority w:val="0"/>
    <w:pPr>
      <w:framePr w:y="4469"/>
    </w:pPr>
  </w:style>
  <w:style w:type="paragraph" w:customStyle="1" w:styleId="131">
    <w:name w:val="封面标准文稿编辑信息2"/>
    <w:basedOn w:val="77"/>
    <w:uiPriority w:val="0"/>
    <w:pPr>
      <w:framePr w:y="4469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征求意见稿-金线莲林下栽培技术规程</Template>
  <Company>zle</Company>
  <Pages>11</Pages>
  <Words>1149</Words>
  <Characters>6550</Characters>
  <Lines>54</Lines>
  <Paragraphs>15</Paragraphs>
  <TotalTime>1</TotalTime>
  <ScaleCrop>false</ScaleCrop>
  <LinksUpToDate>false</LinksUpToDate>
  <CharactersWithSpaces>7684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2020-08-25T07:43:00Z</dcterms:created>
  <dc:creator>CNIS</dc:creator>
  <cp:lastModifiedBy>Administrator</cp:lastModifiedBy>
  <dcterms:modified xsi:type="dcterms:W3CDTF">2022-02-23T02:43:17Z</dcterms:modified>
  <dc:title>标准名称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